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B32F4A" w14:textId="77777777" w:rsidR="008F541E" w:rsidRDefault="008F541E" w:rsidP="000454D4">
      <w:pPr>
        <w:spacing w:after="0" w:line="240" w:lineRule="auto"/>
        <w:jc w:val="center"/>
        <w:rPr>
          <w:rFonts w:cs="Times New Roman"/>
          <w:b/>
          <w:bCs/>
          <w:smallCaps/>
          <w:sz w:val="28"/>
          <w:szCs w:val="28"/>
        </w:rPr>
      </w:pPr>
    </w:p>
    <w:p w14:paraId="65241C40" w14:textId="77777777" w:rsidR="003419DB" w:rsidRDefault="00634BD4" w:rsidP="000454D4">
      <w:pPr>
        <w:spacing w:after="0" w:line="240" w:lineRule="auto"/>
        <w:jc w:val="center"/>
        <w:rPr>
          <w:rFonts w:cs="Times New Roman"/>
          <w:b/>
          <w:bCs/>
          <w:smallCaps/>
          <w:sz w:val="28"/>
          <w:szCs w:val="28"/>
        </w:rPr>
      </w:pPr>
      <w:r w:rsidRPr="00B1335B">
        <w:rPr>
          <w:rFonts w:cs="Times New Roman"/>
          <w:b/>
          <w:bCs/>
          <w:smallCaps/>
          <w:sz w:val="28"/>
          <w:szCs w:val="28"/>
        </w:rPr>
        <w:t>Should Lawyers Owe</w:t>
      </w:r>
      <w:r w:rsidR="001D2598" w:rsidRPr="00B1335B">
        <w:rPr>
          <w:rFonts w:cs="Times New Roman"/>
          <w:b/>
          <w:bCs/>
          <w:smallCaps/>
          <w:sz w:val="28"/>
          <w:szCs w:val="28"/>
        </w:rPr>
        <w:t xml:space="preserve"> </w:t>
      </w:r>
    </w:p>
    <w:p w14:paraId="765A5229" w14:textId="355CBE35" w:rsidR="000454D4" w:rsidRDefault="00DE3233" w:rsidP="000454D4">
      <w:pPr>
        <w:spacing w:after="0" w:line="240" w:lineRule="auto"/>
        <w:jc w:val="center"/>
        <w:rPr>
          <w:rFonts w:cs="Times New Roman"/>
          <w:b/>
          <w:bCs/>
          <w:smallCaps/>
          <w:sz w:val="28"/>
          <w:szCs w:val="28"/>
        </w:rPr>
      </w:pPr>
      <w:bookmarkStart w:id="0" w:name="_GoBack"/>
      <w:bookmarkEnd w:id="0"/>
      <w:proofErr w:type="gramStart"/>
      <w:r>
        <w:rPr>
          <w:rFonts w:cs="Times New Roman"/>
          <w:b/>
          <w:bCs/>
          <w:smallCaps/>
          <w:sz w:val="28"/>
          <w:szCs w:val="28"/>
        </w:rPr>
        <w:t xml:space="preserve">a </w:t>
      </w:r>
      <w:r w:rsidR="004A2F01" w:rsidRPr="00B1335B">
        <w:rPr>
          <w:rFonts w:cs="Times New Roman"/>
          <w:b/>
          <w:bCs/>
          <w:smallCaps/>
          <w:sz w:val="28"/>
          <w:szCs w:val="28"/>
        </w:rPr>
        <w:t>Duty of Candor</w:t>
      </w:r>
      <w:r w:rsidR="003D09B2" w:rsidRPr="00B1335B">
        <w:rPr>
          <w:rFonts w:cs="Times New Roman"/>
          <w:b/>
          <w:bCs/>
          <w:smallCaps/>
          <w:sz w:val="28"/>
          <w:szCs w:val="28"/>
        </w:rPr>
        <w:t xml:space="preserve"> in Mediation</w:t>
      </w:r>
      <w:r w:rsidR="004A2F01" w:rsidRPr="00B1335B">
        <w:rPr>
          <w:rFonts w:cs="Times New Roman"/>
          <w:b/>
          <w:bCs/>
          <w:smallCaps/>
          <w:sz w:val="28"/>
          <w:szCs w:val="28"/>
        </w:rPr>
        <w:t>?</w:t>
      </w:r>
      <w:proofErr w:type="gramEnd"/>
    </w:p>
    <w:p w14:paraId="07CAEAE3" w14:textId="77777777" w:rsidR="00622140" w:rsidRDefault="00622140" w:rsidP="000454D4">
      <w:pPr>
        <w:spacing w:after="0" w:line="240" w:lineRule="auto"/>
        <w:jc w:val="center"/>
        <w:rPr>
          <w:rFonts w:cs="Times New Roman"/>
          <w:b/>
          <w:bCs/>
          <w:smallCaps/>
          <w:sz w:val="28"/>
          <w:szCs w:val="28"/>
        </w:rPr>
      </w:pPr>
    </w:p>
    <w:p w14:paraId="0EA1B141" w14:textId="6C19B339" w:rsidR="00622140" w:rsidRPr="00622140" w:rsidRDefault="00622140" w:rsidP="00622140">
      <w:pPr>
        <w:jc w:val="center"/>
        <w:rPr>
          <w:b/>
        </w:rPr>
      </w:pPr>
      <w:r w:rsidRPr="00622140">
        <w:rPr>
          <w:b/>
        </w:rPr>
        <w:t xml:space="preserve">Grace Watson </w:t>
      </w:r>
      <w:proofErr w:type="spellStart"/>
      <w:r w:rsidRPr="00622140">
        <w:rPr>
          <w:b/>
        </w:rPr>
        <w:t>Keesing</w:t>
      </w:r>
      <w:proofErr w:type="spellEnd"/>
    </w:p>
    <w:p w14:paraId="2D2E9629" w14:textId="77777777" w:rsidR="000454D4" w:rsidRPr="000454D4" w:rsidRDefault="000454D4" w:rsidP="000454D4">
      <w:pPr>
        <w:spacing w:after="0" w:line="240" w:lineRule="auto"/>
        <w:jc w:val="center"/>
        <w:rPr>
          <w:rFonts w:cs="Times New Roman"/>
          <w:b/>
          <w:bCs/>
          <w:smallCaps/>
        </w:rPr>
      </w:pPr>
    </w:p>
    <w:p w14:paraId="7E52C5F2" w14:textId="02D8BFD7" w:rsidR="007246C5" w:rsidRDefault="00EB3D14" w:rsidP="00622140">
      <w:pPr>
        <w:pStyle w:val="Heading1"/>
        <w:spacing w:line="240" w:lineRule="auto"/>
        <w:jc w:val="both"/>
        <w:rPr>
          <w:rFonts w:cs="Times New Roman"/>
        </w:rPr>
      </w:pPr>
      <w:r w:rsidRPr="00B1335B">
        <w:rPr>
          <w:rFonts w:cs="Times New Roman"/>
        </w:rPr>
        <w:t xml:space="preserve">Introduction </w:t>
      </w:r>
    </w:p>
    <w:p w14:paraId="0AA5B23C" w14:textId="33BF88EB" w:rsidR="001152E5" w:rsidRPr="00B1335B" w:rsidRDefault="000926E0" w:rsidP="00622140">
      <w:pPr>
        <w:spacing w:line="240" w:lineRule="auto"/>
        <w:ind w:firstLine="454"/>
        <w:jc w:val="both"/>
        <w:rPr>
          <w:rFonts w:cs="Times New Roman"/>
        </w:rPr>
      </w:pPr>
      <w:r>
        <w:rPr>
          <w:rFonts w:cs="Times New Roman"/>
        </w:rPr>
        <w:br/>
      </w:r>
      <w:r w:rsidR="00145A2B" w:rsidRPr="00B1335B">
        <w:rPr>
          <w:rFonts w:cs="Times New Roman"/>
        </w:rPr>
        <w:t>Over the past decades, m</w:t>
      </w:r>
      <w:r w:rsidR="00591C93" w:rsidRPr="00B1335B">
        <w:rPr>
          <w:rFonts w:cs="Times New Roman"/>
        </w:rPr>
        <w:t xml:space="preserve">ediation has become a </w:t>
      </w:r>
      <w:r w:rsidR="001152E5" w:rsidRPr="00B1335B">
        <w:rPr>
          <w:rFonts w:cs="Times New Roman"/>
        </w:rPr>
        <w:t>central feature</w:t>
      </w:r>
      <w:r w:rsidR="00591C93" w:rsidRPr="00B1335B">
        <w:rPr>
          <w:rFonts w:cs="Times New Roman"/>
        </w:rPr>
        <w:t xml:space="preserve"> </w:t>
      </w:r>
      <w:r w:rsidR="001152E5" w:rsidRPr="00B1335B">
        <w:rPr>
          <w:rFonts w:cs="Times New Roman"/>
        </w:rPr>
        <w:t xml:space="preserve">of </w:t>
      </w:r>
      <w:r w:rsidR="00591C93" w:rsidRPr="00B1335B">
        <w:rPr>
          <w:rFonts w:cs="Times New Roman"/>
        </w:rPr>
        <w:t>civil dispute resolution. It is now widely accepted that mediation off</w:t>
      </w:r>
      <w:r w:rsidR="00707DD7" w:rsidRPr="00B1335B">
        <w:rPr>
          <w:rFonts w:cs="Times New Roman"/>
        </w:rPr>
        <w:t>ers a number of advant</w:t>
      </w:r>
      <w:r w:rsidR="00A601F9" w:rsidRPr="00B1335B">
        <w:rPr>
          <w:rFonts w:cs="Times New Roman"/>
        </w:rPr>
        <w:t>ages over</w:t>
      </w:r>
      <w:r w:rsidR="00E76E8C" w:rsidRPr="00B1335B">
        <w:rPr>
          <w:rFonts w:cs="Times New Roman"/>
        </w:rPr>
        <w:t xml:space="preserve"> </w:t>
      </w:r>
      <w:r w:rsidR="00B1335B">
        <w:rPr>
          <w:rFonts w:cs="Times New Roman"/>
        </w:rPr>
        <w:t>adjudicative processes</w:t>
      </w:r>
      <w:r w:rsidR="003A7314" w:rsidRPr="00B1335B">
        <w:rPr>
          <w:rFonts w:cs="Times New Roman"/>
        </w:rPr>
        <w:t xml:space="preserve"> such as litigation and arbitration</w:t>
      </w:r>
      <w:r w:rsidR="00591C93" w:rsidRPr="00B1335B">
        <w:rPr>
          <w:rFonts w:cs="Times New Roman"/>
        </w:rPr>
        <w:t>. In addition to being comparativel</w:t>
      </w:r>
      <w:r w:rsidR="00E76E8C" w:rsidRPr="00B1335B">
        <w:rPr>
          <w:rFonts w:cs="Times New Roman"/>
        </w:rPr>
        <w:t xml:space="preserve">y </w:t>
      </w:r>
      <w:r w:rsidR="001152E5" w:rsidRPr="00B1335B">
        <w:rPr>
          <w:rFonts w:cs="Times New Roman"/>
        </w:rPr>
        <w:t>quick</w:t>
      </w:r>
      <w:r w:rsidR="00E76E8C" w:rsidRPr="00B1335B">
        <w:rPr>
          <w:rFonts w:cs="Times New Roman"/>
        </w:rPr>
        <w:t xml:space="preserve"> and cheap,</w:t>
      </w:r>
      <w:r w:rsidR="001152E5" w:rsidRPr="00B1335B">
        <w:rPr>
          <w:rFonts w:cs="Times New Roman"/>
        </w:rPr>
        <w:t xml:space="preserve"> mediation affords the parties</w:t>
      </w:r>
      <w:r w:rsidR="000C4D79" w:rsidRPr="00B1335B">
        <w:rPr>
          <w:rFonts w:cs="Times New Roman"/>
        </w:rPr>
        <w:t xml:space="preserve"> the opportunity to maintain confidentiality and exert a far greater degree of control over</w:t>
      </w:r>
      <w:r w:rsidR="003F09F8" w:rsidRPr="00B1335B">
        <w:rPr>
          <w:rFonts w:cs="Times New Roman"/>
        </w:rPr>
        <w:t xml:space="preserve"> both process and outcomes</w:t>
      </w:r>
      <w:r w:rsidR="001152E5" w:rsidRPr="00B1335B">
        <w:rPr>
          <w:rFonts w:cs="Times New Roman"/>
        </w:rPr>
        <w:t xml:space="preserve">. </w:t>
      </w:r>
      <w:r w:rsidR="00E83AEF" w:rsidRPr="00B1335B">
        <w:rPr>
          <w:rFonts w:cs="Times New Roman"/>
        </w:rPr>
        <w:t xml:space="preserve">The presence of an experienced and </w:t>
      </w:r>
      <w:r w:rsidR="00707DD7" w:rsidRPr="00B1335B">
        <w:rPr>
          <w:rFonts w:cs="Times New Roman"/>
        </w:rPr>
        <w:t xml:space="preserve">neutral mediator can </w:t>
      </w:r>
      <w:r w:rsidR="003F09F8" w:rsidRPr="00B1335B">
        <w:rPr>
          <w:rFonts w:cs="Times New Roman"/>
        </w:rPr>
        <w:t>also serve to mitigate</w:t>
      </w:r>
      <w:r w:rsidR="00707DD7" w:rsidRPr="00B1335B">
        <w:rPr>
          <w:rFonts w:cs="Times New Roman"/>
        </w:rPr>
        <w:t xml:space="preserve"> power imbalances between the parties, and encourage the recognition and </w:t>
      </w:r>
      <w:r w:rsidR="00B12622" w:rsidRPr="00B1335B">
        <w:rPr>
          <w:rFonts w:cs="Times New Roman"/>
        </w:rPr>
        <w:t>pursui</w:t>
      </w:r>
      <w:r w:rsidR="003F09F8" w:rsidRPr="00B1335B">
        <w:rPr>
          <w:rFonts w:cs="Times New Roman"/>
        </w:rPr>
        <w:t>t of mutually desirable solutions</w:t>
      </w:r>
      <w:r w:rsidR="00707DD7" w:rsidRPr="00B1335B">
        <w:rPr>
          <w:rFonts w:cs="Times New Roman"/>
        </w:rPr>
        <w:t>.</w:t>
      </w:r>
    </w:p>
    <w:p w14:paraId="2B9CB9C5" w14:textId="0009618F" w:rsidR="00555125" w:rsidRPr="00B1335B" w:rsidRDefault="00B12622" w:rsidP="00622140">
      <w:pPr>
        <w:spacing w:line="240" w:lineRule="auto"/>
        <w:ind w:firstLine="454"/>
        <w:jc w:val="both"/>
        <w:rPr>
          <w:rFonts w:cs="Times New Roman"/>
        </w:rPr>
      </w:pPr>
      <w:r w:rsidRPr="00B1335B">
        <w:rPr>
          <w:rFonts w:cs="Times New Roman"/>
        </w:rPr>
        <w:t>In the wake of the increasing</w:t>
      </w:r>
      <w:r w:rsidR="001152E5" w:rsidRPr="00B1335B">
        <w:rPr>
          <w:rFonts w:cs="Times New Roman"/>
        </w:rPr>
        <w:t xml:space="preserve"> popularity of mediation, commentators, practitioners and pro</w:t>
      </w:r>
      <w:r w:rsidR="00E76E8C" w:rsidRPr="00B1335B">
        <w:rPr>
          <w:rFonts w:cs="Times New Roman"/>
        </w:rPr>
        <w:t xml:space="preserve">fessional bodies have </w:t>
      </w:r>
      <w:r w:rsidR="002E3060" w:rsidRPr="00B1335B">
        <w:rPr>
          <w:rFonts w:cs="Times New Roman"/>
        </w:rPr>
        <w:t>developed detailed</w:t>
      </w:r>
      <w:r w:rsidR="00E76E8C" w:rsidRPr="00B1335B">
        <w:rPr>
          <w:rFonts w:cs="Times New Roman"/>
        </w:rPr>
        <w:t xml:space="preserve"> </w:t>
      </w:r>
      <w:r w:rsidRPr="00B1335B">
        <w:rPr>
          <w:rFonts w:cs="Times New Roman"/>
        </w:rPr>
        <w:t>rules and guidelines</w:t>
      </w:r>
      <w:r w:rsidR="001152E5" w:rsidRPr="00B1335B">
        <w:rPr>
          <w:rFonts w:cs="Times New Roman"/>
        </w:rPr>
        <w:t xml:space="preserve"> </w:t>
      </w:r>
      <w:r w:rsidRPr="00B1335B">
        <w:rPr>
          <w:rFonts w:cs="Times New Roman"/>
        </w:rPr>
        <w:t>regarding the obligations owed by</w:t>
      </w:r>
      <w:r w:rsidR="001152E5" w:rsidRPr="00B1335B">
        <w:rPr>
          <w:rFonts w:cs="Times New Roman"/>
        </w:rPr>
        <w:t xml:space="preserve"> lawyers</w:t>
      </w:r>
      <w:r w:rsidR="00E76E8C" w:rsidRPr="00B1335B">
        <w:rPr>
          <w:rFonts w:cs="Times New Roman"/>
        </w:rPr>
        <w:t xml:space="preserve"> ac</w:t>
      </w:r>
      <w:r w:rsidRPr="00B1335B">
        <w:rPr>
          <w:rFonts w:cs="Times New Roman"/>
        </w:rPr>
        <w:t xml:space="preserve">ting as mediators. </w:t>
      </w:r>
      <w:r w:rsidR="003F09F8" w:rsidRPr="00B1335B">
        <w:rPr>
          <w:rFonts w:cs="Times New Roman"/>
        </w:rPr>
        <w:t>Over time, this process has</w:t>
      </w:r>
      <w:r w:rsidRPr="00B1335B">
        <w:rPr>
          <w:rFonts w:cs="Times New Roman"/>
        </w:rPr>
        <w:t xml:space="preserve"> </w:t>
      </w:r>
      <w:r w:rsidR="00AD24BF" w:rsidRPr="00B1335B">
        <w:rPr>
          <w:rFonts w:cs="Times New Roman"/>
        </w:rPr>
        <w:t xml:space="preserve">resulted </w:t>
      </w:r>
      <w:r w:rsidRPr="00B1335B">
        <w:rPr>
          <w:rFonts w:cs="Times New Roman"/>
        </w:rPr>
        <w:t xml:space="preserve">in a largely coherent set of ethical standards for lawyer-mediators. </w:t>
      </w:r>
      <w:r w:rsidR="00AD24BF" w:rsidRPr="00B1335B">
        <w:rPr>
          <w:rFonts w:cs="Times New Roman"/>
        </w:rPr>
        <w:t>Mediators are</w:t>
      </w:r>
      <w:r w:rsidRPr="00B1335B">
        <w:rPr>
          <w:rFonts w:cs="Times New Roman"/>
        </w:rPr>
        <w:t>, for example,</w:t>
      </w:r>
      <w:r w:rsidR="00AD24BF" w:rsidRPr="00B1335B">
        <w:rPr>
          <w:rFonts w:cs="Times New Roman"/>
        </w:rPr>
        <w:t xml:space="preserve"> generally expected</w:t>
      </w:r>
      <w:r w:rsidRPr="00B1335B">
        <w:rPr>
          <w:rFonts w:cs="Times New Roman"/>
        </w:rPr>
        <w:t xml:space="preserve"> </w:t>
      </w:r>
      <w:r w:rsidR="00AD24BF" w:rsidRPr="00B1335B">
        <w:rPr>
          <w:rFonts w:cs="Times New Roman"/>
        </w:rPr>
        <w:t xml:space="preserve">to </w:t>
      </w:r>
      <w:r w:rsidR="006A3B00" w:rsidRPr="00B1335B">
        <w:rPr>
          <w:rFonts w:cs="Times New Roman"/>
        </w:rPr>
        <w:t xml:space="preserve">maintain objectivity, avoid conflicts of interest, </w:t>
      </w:r>
      <w:r w:rsidR="003F09F8" w:rsidRPr="00B1335B">
        <w:rPr>
          <w:rFonts w:cs="Times New Roman"/>
        </w:rPr>
        <w:t xml:space="preserve">ensure procedural fairness </w:t>
      </w:r>
      <w:r w:rsidR="006A3B00" w:rsidRPr="00B1335B">
        <w:rPr>
          <w:rFonts w:cs="Times New Roman"/>
        </w:rPr>
        <w:t>and refrain from offering legal advice or pressuring parties to reach settlement.</w:t>
      </w:r>
      <w:r w:rsidR="001D2598" w:rsidRPr="00B1335B">
        <w:rPr>
          <w:rStyle w:val="FootnoteReference"/>
          <w:rFonts w:cs="Times New Roman"/>
        </w:rPr>
        <w:footnoteReference w:id="1"/>
      </w:r>
      <w:r w:rsidR="006A3B00" w:rsidRPr="00B1335B">
        <w:rPr>
          <w:rFonts w:cs="Times New Roman"/>
        </w:rPr>
        <w:t xml:space="preserve"> </w:t>
      </w:r>
    </w:p>
    <w:p w14:paraId="410C5D73" w14:textId="2AE20B47" w:rsidR="00F74E10" w:rsidRPr="00B1335B" w:rsidRDefault="00E76E8C" w:rsidP="00622140">
      <w:pPr>
        <w:spacing w:line="240" w:lineRule="auto"/>
        <w:ind w:firstLine="454"/>
        <w:jc w:val="both"/>
        <w:rPr>
          <w:rFonts w:cs="Times New Roman"/>
        </w:rPr>
      </w:pPr>
      <w:r w:rsidRPr="00B1335B">
        <w:rPr>
          <w:rFonts w:cs="Times New Roman"/>
        </w:rPr>
        <w:t>In contrast, c</w:t>
      </w:r>
      <w:r w:rsidR="001152E5" w:rsidRPr="00B1335B">
        <w:rPr>
          <w:rFonts w:cs="Times New Roman"/>
        </w:rPr>
        <w:t>omparatively little attention has been directed to the ethical issues faced by the lawyers who represent</w:t>
      </w:r>
      <w:r w:rsidRPr="00B1335B">
        <w:rPr>
          <w:rFonts w:cs="Times New Roman"/>
        </w:rPr>
        <w:t xml:space="preserve"> parties in </w:t>
      </w:r>
      <w:r w:rsidR="00DF6A3E" w:rsidRPr="00B1335B">
        <w:rPr>
          <w:rFonts w:cs="Times New Roman"/>
        </w:rPr>
        <w:t xml:space="preserve">mediation. One </w:t>
      </w:r>
      <w:proofErr w:type="gramStart"/>
      <w:r w:rsidR="00DF6A3E" w:rsidRPr="00B1335B">
        <w:rPr>
          <w:rFonts w:cs="Times New Roman"/>
        </w:rPr>
        <w:t>issue</w:t>
      </w:r>
      <w:proofErr w:type="gramEnd"/>
      <w:r w:rsidR="00DF6A3E" w:rsidRPr="00B1335B">
        <w:rPr>
          <w:rFonts w:cs="Times New Roman"/>
        </w:rPr>
        <w:t xml:space="preserve"> in particular – the extent to which </w:t>
      </w:r>
      <w:r w:rsidR="006B1049" w:rsidRPr="00B1335B">
        <w:rPr>
          <w:rFonts w:cs="Times New Roman"/>
        </w:rPr>
        <w:t>lawyers engaged</w:t>
      </w:r>
      <w:r w:rsidR="00DF6A3E" w:rsidRPr="00B1335B">
        <w:rPr>
          <w:rFonts w:cs="Times New Roman"/>
        </w:rPr>
        <w:t xml:space="preserve"> i</w:t>
      </w:r>
      <w:r w:rsidR="006B1049" w:rsidRPr="00B1335B">
        <w:rPr>
          <w:rFonts w:cs="Times New Roman"/>
        </w:rPr>
        <w:t>n mediation should be ho</w:t>
      </w:r>
      <w:r w:rsidR="003A7314" w:rsidRPr="00B1335B">
        <w:rPr>
          <w:rFonts w:cs="Times New Roman"/>
        </w:rPr>
        <w:t xml:space="preserve">nest and forthcoming with the </w:t>
      </w:r>
      <w:r w:rsidR="003A7314" w:rsidRPr="00B1335B">
        <w:rPr>
          <w:rFonts w:cs="Times New Roman"/>
        </w:rPr>
        <w:lastRenderedPageBreak/>
        <w:t>opposing side</w:t>
      </w:r>
      <w:r w:rsidR="00DF6A3E" w:rsidRPr="00B1335B">
        <w:rPr>
          <w:rFonts w:cs="Times New Roman"/>
        </w:rPr>
        <w:t xml:space="preserve"> </w:t>
      </w:r>
      <w:r w:rsidR="00765B2E" w:rsidRPr="00B1335B">
        <w:rPr>
          <w:rFonts w:cs="Times New Roman"/>
        </w:rPr>
        <w:t xml:space="preserve">and the mediator </w:t>
      </w:r>
      <w:r w:rsidR="006B1049" w:rsidRPr="00B1335B">
        <w:rPr>
          <w:rFonts w:cs="Times New Roman"/>
        </w:rPr>
        <w:t>–</w:t>
      </w:r>
      <w:r w:rsidR="00DF6A3E" w:rsidRPr="00B1335B">
        <w:rPr>
          <w:rFonts w:cs="Times New Roman"/>
        </w:rPr>
        <w:t xml:space="preserve"> </w:t>
      </w:r>
      <w:r w:rsidR="006B1049" w:rsidRPr="00B1335B">
        <w:rPr>
          <w:rFonts w:cs="Times New Roman"/>
        </w:rPr>
        <w:t>remains the subject of considerable confusion</w:t>
      </w:r>
      <w:r w:rsidR="006A3B00" w:rsidRPr="00B1335B">
        <w:rPr>
          <w:rFonts w:cs="Times New Roman"/>
        </w:rPr>
        <w:t xml:space="preserve"> and controversy.</w:t>
      </w:r>
      <w:r w:rsidR="001D2598" w:rsidRPr="00B1335B">
        <w:rPr>
          <w:rStyle w:val="FootnoteReference"/>
          <w:rFonts w:cs="Times New Roman"/>
        </w:rPr>
        <w:footnoteReference w:id="2"/>
      </w:r>
      <w:r w:rsidR="006A3B00" w:rsidRPr="00B1335B">
        <w:rPr>
          <w:rFonts w:cs="Times New Roman"/>
        </w:rPr>
        <w:t xml:space="preserve"> </w:t>
      </w:r>
      <w:r w:rsidR="002D3C4A" w:rsidRPr="00B1335B">
        <w:rPr>
          <w:rFonts w:cs="Times New Roman"/>
        </w:rPr>
        <w:t>The issue of c</w:t>
      </w:r>
      <w:r w:rsidR="004C0AE7" w:rsidRPr="00B1335B">
        <w:rPr>
          <w:rFonts w:cs="Times New Roman"/>
        </w:rPr>
        <w:t>andor in mediation</w:t>
      </w:r>
      <w:r w:rsidR="002D3C4A" w:rsidRPr="00B1335B">
        <w:rPr>
          <w:rFonts w:cs="Times New Roman"/>
        </w:rPr>
        <w:t xml:space="preserve"> and sett</w:t>
      </w:r>
      <w:r w:rsidR="003F09F8" w:rsidRPr="00B1335B">
        <w:rPr>
          <w:rFonts w:cs="Times New Roman"/>
        </w:rPr>
        <w:t xml:space="preserve">lement negotiations </w:t>
      </w:r>
      <w:r w:rsidR="004C0AE7" w:rsidRPr="00B1335B">
        <w:rPr>
          <w:rFonts w:cs="Times New Roman"/>
        </w:rPr>
        <w:t xml:space="preserve">has been variously described as one of </w:t>
      </w:r>
      <w:r w:rsidR="004C0AE7" w:rsidRPr="00B1335B">
        <w:rPr>
          <w:rFonts w:cs="Times New Roman"/>
          <w:i/>
        </w:rPr>
        <w:t>“the most important ethical issues</w:t>
      </w:r>
      <w:r w:rsidR="00F87A09">
        <w:rPr>
          <w:rFonts w:cs="Times New Roman"/>
          <w:i/>
        </w:rPr>
        <w:t xml:space="preserve"> </w:t>
      </w:r>
      <w:r w:rsidR="003F09F8" w:rsidRPr="00B1335B">
        <w:rPr>
          <w:rFonts w:cs="Times New Roman"/>
          <w:i/>
        </w:rPr>
        <w:t>facing lawyers</w:t>
      </w:r>
      <w:r w:rsidR="004C0AE7" w:rsidRPr="00B1335B">
        <w:rPr>
          <w:rFonts w:cs="Times New Roman"/>
          <w:i/>
        </w:rPr>
        <w:t>”</w:t>
      </w:r>
      <w:r w:rsidR="004C0AE7" w:rsidRPr="00B1335B">
        <w:rPr>
          <w:rFonts w:cs="Times New Roman"/>
        </w:rPr>
        <w:t>,</w:t>
      </w:r>
      <w:r w:rsidR="00D74224" w:rsidRPr="00B1335B">
        <w:rPr>
          <w:rStyle w:val="FootnoteReference"/>
          <w:rFonts w:cs="Times New Roman"/>
        </w:rPr>
        <w:footnoteReference w:id="3"/>
      </w:r>
      <w:r w:rsidR="004C0AE7" w:rsidRPr="00B1335B">
        <w:rPr>
          <w:rFonts w:cs="Times New Roman"/>
        </w:rPr>
        <w:t xml:space="preserve"> as </w:t>
      </w:r>
      <w:r w:rsidR="004C0AE7" w:rsidRPr="00B1335B">
        <w:rPr>
          <w:rFonts w:cs="Times New Roman"/>
          <w:i/>
        </w:rPr>
        <w:t>“largely unchartered waters”</w:t>
      </w:r>
      <w:r w:rsidR="00302137" w:rsidRPr="00B1335B">
        <w:rPr>
          <w:rStyle w:val="FootnoteReference"/>
          <w:rFonts w:cs="Times New Roman"/>
        </w:rPr>
        <w:footnoteReference w:id="4"/>
      </w:r>
      <w:r w:rsidR="00E92388" w:rsidRPr="00B1335B">
        <w:rPr>
          <w:rFonts w:cs="Times New Roman"/>
          <w:i/>
        </w:rPr>
        <w:t xml:space="preserve"> </w:t>
      </w:r>
      <w:r w:rsidR="00E92388" w:rsidRPr="00B1335B">
        <w:rPr>
          <w:rFonts w:cs="Times New Roman"/>
        </w:rPr>
        <w:t xml:space="preserve">or </w:t>
      </w:r>
      <w:r w:rsidR="00E92388" w:rsidRPr="00B1335B">
        <w:rPr>
          <w:rFonts w:cs="Times New Roman"/>
          <w:i/>
        </w:rPr>
        <w:t>“open to interpretation”</w:t>
      </w:r>
      <w:r w:rsidR="00E92388" w:rsidRPr="00B1335B">
        <w:rPr>
          <w:rFonts w:cs="Times New Roman"/>
        </w:rPr>
        <w:t>,</w:t>
      </w:r>
      <w:r w:rsidR="00E92388" w:rsidRPr="00B1335B">
        <w:rPr>
          <w:rStyle w:val="FootnoteReference"/>
          <w:rFonts w:cs="Times New Roman"/>
        </w:rPr>
        <w:footnoteReference w:id="5"/>
      </w:r>
      <w:r w:rsidR="00E92388" w:rsidRPr="00B1335B">
        <w:rPr>
          <w:rFonts w:cs="Times New Roman"/>
        </w:rPr>
        <w:t xml:space="preserve"> </w:t>
      </w:r>
      <w:r w:rsidR="004C0AE7" w:rsidRPr="00B1335B">
        <w:rPr>
          <w:rFonts w:cs="Times New Roman"/>
        </w:rPr>
        <w:t xml:space="preserve">and </w:t>
      </w:r>
      <w:r w:rsidR="002D3C4A" w:rsidRPr="00B1335B">
        <w:rPr>
          <w:rFonts w:cs="Times New Roman"/>
        </w:rPr>
        <w:t xml:space="preserve">as </w:t>
      </w:r>
      <w:r w:rsidR="002D3C4A" w:rsidRPr="00B1335B">
        <w:rPr>
          <w:rFonts w:cs="Times New Roman"/>
          <w:i/>
        </w:rPr>
        <w:t xml:space="preserve">“the ethical no-man’s land” </w:t>
      </w:r>
      <w:r w:rsidR="002D3C4A" w:rsidRPr="00B1335B">
        <w:rPr>
          <w:rFonts w:cs="Times New Roman"/>
        </w:rPr>
        <w:t>of legal practice.</w:t>
      </w:r>
      <w:r w:rsidR="002D3C4A" w:rsidRPr="00B1335B">
        <w:rPr>
          <w:rStyle w:val="FootnoteReference"/>
          <w:rFonts w:cs="Times New Roman"/>
        </w:rPr>
        <w:footnoteReference w:id="6"/>
      </w:r>
      <w:r w:rsidR="002D3C4A" w:rsidRPr="00B1335B">
        <w:rPr>
          <w:rFonts w:cs="Times New Roman"/>
        </w:rPr>
        <w:t xml:space="preserve"> </w:t>
      </w:r>
      <w:r w:rsidR="00152885" w:rsidRPr="00B1335B">
        <w:rPr>
          <w:rFonts w:cs="Times New Roman"/>
        </w:rPr>
        <w:t>Moreover, t</w:t>
      </w:r>
      <w:r w:rsidR="00F74E10" w:rsidRPr="00B1335B">
        <w:rPr>
          <w:rFonts w:cs="Times New Roman"/>
        </w:rPr>
        <w:t xml:space="preserve">he considerable body of </w:t>
      </w:r>
      <w:r w:rsidR="00B47F06" w:rsidRPr="00B1335B">
        <w:rPr>
          <w:rFonts w:cs="Times New Roman"/>
        </w:rPr>
        <w:t>cases concerning claims of dishonesty and sharp practice in mediatio</w:t>
      </w:r>
      <w:r w:rsidR="00152885" w:rsidRPr="00B1335B">
        <w:rPr>
          <w:rFonts w:cs="Times New Roman"/>
        </w:rPr>
        <w:t xml:space="preserve">n confirm that this issue is not merely theoretical. </w:t>
      </w:r>
      <w:r w:rsidR="00F74E10" w:rsidRPr="00B1335B">
        <w:rPr>
          <w:rFonts w:cs="Times New Roman"/>
        </w:rPr>
        <w:t>Yet as one commentator has observed, the resolution of su</w:t>
      </w:r>
      <w:r w:rsidR="001D2598" w:rsidRPr="00B1335B">
        <w:rPr>
          <w:rFonts w:cs="Times New Roman"/>
        </w:rPr>
        <w:t>ch cases is</w:t>
      </w:r>
      <w:r w:rsidR="00F74E10" w:rsidRPr="00B1335B">
        <w:rPr>
          <w:rFonts w:cs="Times New Roman"/>
        </w:rPr>
        <w:t xml:space="preserve"> </w:t>
      </w:r>
      <w:r w:rsidR="00F74E10" w:rsidRPr="00B1335B">
        <w:rPr>
          <w:rFonts w:cs="Times New Roman"/>
          <w:i/>
        </w:rPr>
        <w:t>“</w:t>
      </w:r>
      <w:r w:rsidR="001D2598" w:rsidRPr="00B1335B">
        <w:rPr>
          <w:rFonts w:cs="Times New Roman"/>
          <w:i/>
        </w:rPr>
        <w:t xml:space="preserve">more likely to reflect </w:t>
      </w:r>
      <w:r w:rsidR="00F74E10" w:rsidRPr="00B1335B">
        <w:rPr>
          <w:rFonts w:cs="Times New Roman"/>
          <w:i/>
        </w:rPr>
        <w:t>judicial viscera and intuitive notions of fairness than any coherent system of legal or ethical principles.”</w:t>
      </w:r>
      <w:r w:rsidR="005B068C" w:rsidRPr="00B1335B">
        <w:rPr>
          <w:rStyle w:val="FootnoteReference"/>
          <w:rFonts w:cs="Times New Roman"/>
          <w:i/>
        </w:rPr>
        <w:footnoteReference w:id="7"/>
      </w:r>
    </w:p>
    <w:p w14:paraId="18881B6C" w14:textId="2025DCFE" w:rsidR="00707DD7" w:rsidRPr="00B1335B" w:rsidRDefault="006B1049" w:rsidP="00622140">
      <w:pPr>
        <w:spacing w:line="240" w:lineRule="auto"/>
        <w:ind w:firstLine="454"/>
        <w:jc w:val="both"/>
        <w:rPr>
          <w:rFonts w:cs="Times New Roman"/>
        </w:rPr>
      </w:pPr>
      <w:r w:rsidRPr="00B1335B">
        <w:rPr>
          <w:rFonts w:cs="Times New Roman"/>
        </w:rPr>
        <w:t xml:space="preserve">This paper explores the parameters of </w:t>
      </w:r>
      <w:r w:rsidR="00765B2E" w:rsidRPr="00B1335B">
        <w:rPr>
          <w:rFonts w:cs="Times New Roman"/>
        </w:rPr>
        <w:t>truthfulness</w:t>
      </w:r>
      <w:r w:rsidRPr="00B1335B">
        <w:rPr>
          <w:rFonts w:cs="Times New Roman"/>
        </w:rPr>
        <w:t xml:space="preserve"> in mediation from a</w:t>
      </w:r>
      <w:r w:rsidR="00765B2E" w:rsidRPr="00B1335B">
        <w:rPr>
          <w:rFonts w:cs="Times New Roman"/>
        </w:rPr>
        <w:t xml:space="preserve"> legal and ethical perspective, with the aim of determining whether, and to what extent</w:t>
      </w:r>
      <w:r w:rsidR="00302137" w:rsidRPr="00B1335B">
        <w:rPr>
          <w:rFonts w:cs="Times New Roman"/>
        </w:rPr>
        <w:t xml:space="preserve">, a </w:t>
      </w:r>
      <w:r w:rsidR="00765B2E" w:rsidRPr="00B1335B">
        <w:rPr>
          <w:rFonts w:cs="Times New Roman"/>
        </w:rPr>
        <w:t xml:space="preserve">duty of candor should apply to lawyers engaged in mediation. </w:t>
      </w:r>
      <w:r w:rsidR="00DF3342" w:rsidRPr="00B1335B">
        <w:rPr>
          <w:rFonts w:cs="Times New Roman"/>
        </w:rPr>
        <w:t xml:space="preserve">The term </w:t>
      </w:r>
      <w:r w:rsidR="00DF3342" w:rsidRPr="00B1335B">
        <w:rPr>
          <w:rFonts w:cs="Times New Roman"/>
          <w:i/>
        </w:rPr>
        <w:t xml:space="preserve">“candor” </w:t>
      </w:r>
      <w:r w:rsidR="00DF3342" w:rsidRPr="00B1335B">
        <w:rPr>
          <w:rFonts w:cs="Times New Roman"/>
        </w:rPr>
        <w:t xml:space="preserve">in this context </w:t>
      </w:r>
      <w:r w:rsidR="004C0AE7" w:rsidRPr="00B1335B">
        <w:rPr>
          <w:rFonts w:cs="Times New Roman"/>
        </w:rPr>
        <w:t xml:space="preserve">is used to connote a degree </w:t>
      </w:r>
      <w:r w:rsidR="00972441" w:rsidRPr="00B1335B">
        <w:rPr>
          <w:rFonts w:cs="Times New Roman"/>
        </w:rPr>
        <w:t>of</w:t>
      </w:r>
      <w:r w:rsidR="00606AA2" w:rsidRPr="00B1335B">
        <w:rPr>
          <w:rFonts w:cs="Times New Roman"/>
        </w:rPr>
        <w:t xml:space="preserve"> </w:t>
      </w:r>
      <w:r w:rsidR="004C0AE7" w:rsidRPr="00B1335B">
        <w:rPr>
          <w:rFonts w:cs="Times New Roman"/>
        </w:rPr>
        <w:t>full and forthright</w:t>
      </w:r>
      <w:r w:rsidR="00606AA2" w:rsidRPr="00B1335B">
        <w:rPr>
          <w:rFonts w:cs="Times New Roman"/>
        </w:rPr>
        <w:t xml:space="preserve"> </w:t>
      </w:r>
      <w:r w:rsidR="004C0AE7" w:rsidRPr="00B1335B">
        <w:rPr>
          <w:rFonts w:cs="Times New Roman"/>
        </w:rPr>
        <w:t>disclosure</w:t>
      </w:r>
      <w:r w:rsidR="00DF3342" w:rsidRPr="00B1335B">
        <w:rPr>
          <w:rFonts w:cs="Times New Roman"/>
        </w:rPr>
        <w:t xml:space="preserve"> which extends </w:t>
      </w:r>
      <w:r w:rsidR="00B26653" w:rsidRPr="00B1335B">
        <w:rPr>
          <w:rFonts w:cs="Times New Roman"/>
        </w:rPr>
        <w:t>beyond</w:t>
      </w:r>
      <w:r w:rsidR="003F09F8" w:rsidRPr="00B1335B">
        <w:rPr>
          <w:rFonts w:cs="Times New Roman"/>
        </w:rPr>
        <w:t xml:space="preserve"> the</w:t>
      </w:r>
      <w:r w:rsidR="004C0AE7" w:rsidRPr="00B1335B">
        <w:rPr>
          <w:rFonts w:cs="Times New Roman"/>
        </w:rPr>
        <w:t xml:space="preserve"> mere obligation to tell the </w:t>
      </w:r>
      <w:r w:rsidR="004C0AE7" w:rsidRPr="00B1335B">
        <w:rPr>
          <w:rFonts w:cs="Times New Roman"/>
          <w:i/>
        </w:rPr>
        <w:t>“literal truth”</w:t>
      </w:r>
      <w:r w:rsidR="004C0AE7" w:rsidRPr="00B1335B">
        <w:rPr>
          <w:rFonts w:cs="Times New Roman"/>
        </w:rPr>
        <w:t>, and encompasses a</w:t>
      </w:r>
      <w:r w:rsidR="004254DD" w:rsidRPr="00B1335B">
        <w:rPr>
          <w:rFonts w:cs="Times New Roman"/>
        </w:rPr>
        <w:t>n ethical</w:t>
      </w:r>
      <w:r w:rsidR="003C532E" w:rsidRPr="00B1335B">
        <w:rPr>
          <w:rFonts w:cs="Times New Roman"/>
        </w:rPr>
        <w:t xml:space="preserve"> duty</w:t>
      </w:r>
      <w:r w:rsidR="00606AA2" w:rsidRPr="00B1335B">
        <w:rPr>
          <w:rFonts w:cs="Times New Roman"/>
        </w:rPr>
        <w:t xml:space="preserve"> to ensure that </w:t>
      </w:r>
      <w:r w:rsidR="004C0AE7" w:rsidRPr="00B1335B">
        <w:rPr>
          <w:rFonts w:cs="Times New Roman"/>
        </w:rPr>
        <w:t xml:space="preserve">the other parties to </w:t>
      </w:r>
      <w:proofErr w:type="gramStart"/>
      <w:r w:rsidR="004C0AE7" w:rsidRPr="00B1335B">
        <w:rPr>
          <w:rFonts w:cs="Times New Roman"/>
        </w:rPr>
        <w:t>a</w:t>
      </w:r>
      <w:r w:rsidR="00606AA2" w:rsidRPr="00B1335B">
        <w:rPr>
          <w:rFonts w:cs="Times New Roman"/>
        </w:rPr>
        <w:t xml:space="preserve"> mediation</w:t>
      </w:r>
      <w:proofErr w:type="gramEnd"/>
      <w:r w:rsidR="00606AA2" w:rsidRPr="00B1335B">
        <w:rPr>
          <w:rFonts w:cs="Times New Roman"/>
        </w:rPr>
        <w:t xml:space="preserve"> are </w:t>
      </w:r>
      <w:r w:rsidR="004C0AE7" w:rsidRPr="00B1335B">
        <w:rPr>
          <w:rFonts w:cs="Times New Roman"/>
        </w:rPr>
        <w:t>suitably</w:t>
      </w:r>
      <w:r w:rsidR="003C532E" w:rsidRPr="00B1335B">
        <w:rPr>
          <w:rFonts w:cs="Times New Roman"/>
        </w:rPr>
        <w:t xml:space="preserve"> appraised of the facts and interests at play. </w:t>
      </w:r>
      <w:r w:rsidR="004254DD" w:rsidRPr="00B1335B">
        <w:rPr>
          <w:rFonts w:cs="Times New Roman"/>
        </w:rPr>
        <w:t>The existence of other substantive legal duties of disclosure</w:t>
      </w:r>
      <w:r w:rsidR="00F2188A" w:rsidRPr="00B1335B">
        <w:rPr>
          <w:rFonts w:cs="Times New Roman"/>
        </w:rPr>
        <w:t xml:space="preserve"> and fair dealing</w:t>
      </w:r>
      <w:r w:rsidR="004254DD" w:rsidRPr="00B1335B">
        <w:rPr>
          <w:rFonts w:cs="Times New Roman"/>
        </w:rPr>
        <w:t xml:space="preserve">, such as those that may arise under the law of contract and tort, are beyond the scope of this enquiry. </w:t>
      </w:r>
    </w:p>
    <w:p w14:paraId="564128A0" w14:textId="6320C6E5" w:rsidR="005B7CCF" w:rsidRPr="00B1335B" w:rsidRDefault="00765B2E" w:rsidP="00622140">
      <w:pPr>
        <w:spacing w:line="240" w:lineRule="auto"/>
        <w:ind w:firstLine="454"/>
        <w:jc w:val="both"/>
        <w:rPr>
          <w:rFonts w:cs="Times New Roman"/>
        </w:rPr>
      </w:pPr>
      <w:r w:rsidRPr="00B1335B">
        <w:rPr>
          <w:rFonts w:cs="Times New Roman"/>
        </w:rPr>
        <w:lastRenderedPageBreak/>
        <w:t xml:space="preserve">Following this introduction, Part II examines the current </w:t>
      </w:r>
      <w:r w:rsidR="001C7B4B" w:rsidRPr="00B1335B">
        <w:rPr>
          <w:rFonts w:cs="Times New Roman"/>
        </w:rPr>
        <w:t xml:space="preserve">ethical </w:t>
      </w:r>
      <w:r w:rsidRPr="00B1335B">
        <w:rPr>
          <w:rFonts w:cs="Times New Roman"/>
        </w:rPr>
        <w:t xml:space="preserve">rules and guidelines concerning obligations of honesty and disclosure in mediation. Beginning with a review of the relevant </w:t>
      </w:r>
      <w:r w:rsidRPr="00B1335B">
        <w:rPr>
          <w:rFonts w:cs="Times New Roman"/>
          <w:i/>
        </w:rPr>
        <w:t>Model Rules of Professional Conduct</w:t>
      </w:r>
      <w:r w:rsidR="00A52213" w:rsidRPr="00B1335B">
        <w:rPr>
          <w:rFonts w:cs="Times New Roman"/>
        </w:rPr>
        <w:t xml:space="preserve">, I demonstrate </w:t>
      </w:r>
      <w:r w:rsidRPr="00B1335B">
        <w:rPr>
          <w:rFonts w:cs="Times New Roman"/>
        </w:rPr>
        <w:t>that</w:t>
      </w:r>
      <w:r w:rsidR="003554D9" w:rsidRPr="00B1335B">
        <w:rPr>
          <w:rFonts w:cs="Times New Roman"/>
        </w:rPr>
        <w:t xml:space="preserve"> these obligations are extremely limited, and fall well short of the duties placed on lawyers engaged in other forms of dispute resolution. </w:t>
      </w:r>
      <w:r w:rsidR="001C7B4B" w:rsidRPr="00B1335B">
        <w:rPr>
          <w:rFonts w:cs="Times New Roman"/>
        </w:rPr>
        <w:t xml:space="preserve">In light of this, in Part III I </w:t>
      </w:r>
      <w:r w:rsidR="00C22F0C" w:rsidRPr="00B1335B">
        <w:rPr>
          <w:rFonts w:cs="Times New Roman"/>
        </w:rPr>
        <w:t>assess the</w:t>
      </w:r>
      <w:r w:rsidR="00475D7C" w:rsidRPr="00B1335B">
        <w:rPr>
          <w:rFonts w:cs="Times New Roman"/>
        </w:rPr>
        <w:t xml:space="preserve"> ramifications of the current approach. I argue that the rules and guidelines governing la</w:t>
      </w:r>
      <w:r w:rsidR="001329ED" w:rsidRPr="00B1335B">
        <w:rPr>
          <w:rFonts w:cs="Times New Roman"/>
        </w:rPr>
        <w:t>wyers in mediation are fundamentally</w:t>
      </w:r>
      <w:r w:rsidR="00475D7C" w:rsidRPr="00B1335B">
        <w:rPr>
          <w:rFonts w:cs="Times New Roman"/>
        </w:rPr>
        <w:t xml:space="preserve"> flaw</w:t>
      </w:r>
      <w:r w:rsidR="003F3AD2" w:rsidRPr="00B1335B">
        <w:rPr>
          <w:rFonts w:cs="Times New Roman"/>
        </w:rPr>
        <w:t>ed. First</w:t>
      </w:r>
      <w:r w:rsidR="001329ED" w:rsidRPr="00B1335B">
        <w:rPr>
          <w:rFonts w:cs="Times New Roman"/>
        </w:rPr>
        <w:t>, they permit lawyers to engage in morally reprehensible conduct – conduct which has the potential to seriously erode the standing of t</w:t>
      </w:r>
      <w:r w:rsidR="00C164AD" w:rsidRPr="00B1335B">
        <w:rPr>
          <w:rFonts w:cs="Times New Roman"/>
        </w:rPr>
        <w:t xml:space="preserve">he legal profession and </w:t>
      </w:r>
      <w:r w:rsidR="00234D8A" w:rsidRPr="00B1335B">
        <w:rPr>
          <w:rFonts w:cs="Times New Roman"/>
        </w:rPr>
        <w:t>entirely defeat the purpose of mediation</w:t>
      </w:r>
      <w:r w:rsidR="001329ED" w:rsidRPr="00B1335B">
        <w:rPr>
          <w:rFonts w:cs="Times New Roman"/>
        </w:rPr>
        <w:t xml:space="preserve">. </w:t>
      </w:r>
      <w:r w:rsidR="000669F8">
        <w:rPr>
          <w:rFonts w:cs="Times New Roman"/>
        </w:rPr>
        <w:t>Second, they are in significant</w:t>
      </w:r>
      <w:r w:rsidR="003F3AD2" w:rsidRPr="00B1335B">
        <w:rPr>
          <w:rFonts w:cs="Times New Roman"/>
        </w:rPr>
        <w:t xml:space="preserve"> respects unclear</w:t>
      </w:r>
      <w:r w:rsidR="00126F20" w:rsidRPr="00B1335B">
        <w:rPr>
          <w:rFonts w:cs="Times New Roman"/>
        </w:rPr>
        <w:t>, and</w:t>
      </w:r>
      <w:r w:rsidR="003F3AD2" w:rsidRPr="00B1335B">
        <w:rPr>
          <w:rFonts w:cs="Times New Roman"/>
        </w:rPr>
        <w:t xml:space="preserve"> fail to provide practitioners with sufficient guidance </w:t>
      </w:r>
      <w:r w:rsidR="00126F20" w:rsidRPr="00B1335B">
        <w:rPr>
          <w:rFonts w:cs="Times New Roman"/>
        </w:rPr>
        <w:t>concerning the</w:t>
      </w:r>
      <w:r w:rsidR="00124DC3" w:rsidRPr="00B1335B">
        <w:rPr>
          <w:rFonts w:cs="Times New Roman"/>
        </w:rPr>
        <w:t xml:space="preserve"> limits of acceptable behavior, particularly in the context of conflicting duties to the client and third parties. </w:t>
      </w:r>
      <w:r w:rsidR="00126F20" w:rsidRPr="00B1335B">
        <w:rPr>
          <w:rFonts w:cs="Times New Roman"/>
        </w:rPr>
        <w:t xml:space="preserve"> </w:t>
      </w:r>
      <w:r w:rsidR="00935864" w:rsidRPr="00B1335B">
        <w:rPr>
          <w:rFonts w:cs="Times New Roman"/>
        </w:rPr>
        <w:t>Finally, in Part I</w:t>
      </w:r>
      <w:r w:rsidR="00CE1E57" w:rsidRPr="00B1335B">
        <w:rPr>
          <w:rFonts w:cs="Times New Roman"/>
        </w:rPr>
        <w:t xml:space="preserve">V, I consider </w:t>
      </w:r>
      <w:r w:rsidR="001329ED" w:rsidRPr="00B1335B">
        <w:rPr>
          <w:rFonts w:cs="Times New Roman"/>
        </w:rPr>
        <w:t>how the current rules and guidelines should be amended. I argue that, in order to maintain an appropriate balance between the lawyer’s duties to his or her client and to the administration of justice, lawyers must, at a minimum, display the same degree of candor in mediation that is required of them before courts and other adjudicative tribunals</w:t>
      </w:r>
      <w:r w:rsidR="00CE1E57" w:rsidRPr="00B1335B">
        <w:rPr>
          <w:rFonts w:cs="Times New Roman"/>
        </w:rPr>
        <w:t xml:space="preserve">. I conclude that </w:t>
      </w:r>
      <w:r w:rsidR="001329ED" w:rsidRPr="00B1335B">
        <w:rPr>
          <w:rFonts w:cs="Times New Roman"/>
        </w:rPr>
        <w:t xml:space="preserve">this result can best be achieved by </w:t>
      </w:r>
      <w:r w:rsidR="000669F8">
        <w:rPr>
          <w:rFonts w:cs="Times New Roman"/>
        </w:rPr>
        <w:t>a modest amendment to the existing professional conduct rules, pursuant to which the lawyer</w:t>
      </w:r>
      <w:r w:rsidR="00F87A09">
        <w:rPr>
          <w:rFonts w:cs="Times New Roman"/>
        </w:rPr>
        <w:t>’</w:t>
      </w:r>
      <w:r w:rsidR="000669F8">
        <w:rPr>
          <w:rFonts w:cs="Times New Roman"/>
        </w:rPr>
        <w:t>s duty of candor to tribunals would be expanded to include mediation</w:t>
      </w:r>
      <w:r w:rsidR="00F87A09">
        <w:rPr>
          <w:rFonts w:cs="Times New Roman"/>
        </w:rPr>
        <w:t>.</w:t>
      </w:r>
      <w:r w:rsidR="00CE1E57" w:rsidRPr="00B1335B">
        <w:rPr>
          <w:rFonts w:cs="Times New Roman"/>
        </w:rPr>
        <w:t xml:space="preserve"> </w:t>
      </w:r>
    </w:p>
    <w:p w14:paraId="6296DEC5" w14:textId="14B30FA3" w:rsidR="003D09B2" w:rsidRPr="000926E0" w:rsidRDefault="006B4F51" w:rsidP="000926E0">
      <w:pPr>
        <w:pStyle w:val="Heading1"/>
        <w:spacing w:line="240" w:lineRule="auto"/>
        <w:jc w:val="both"/>
        <w:rPr>
          <w:rFonts w:cs="Times New Roman"/>
        </w:rPr>
      </w:pPr>
      <w:r w:rsidRPr="00B1335B">
        <w:rPr>
          <w:rFonts w:cs="Times New Roman"/>
        </w:rPr>
        <w:t>O</w:t>
      </w:r>
      <w:r w:rsidR="00707DD7" w:rsidRPr="00B1335B">
        <w:rPr>
          <w:rFonts w:cs="Times New Roman"/>
        </w:rPr>
        <w:t>bligation</w:t>
      </w:r>
      <w:r w:rsidR="002372B0" w:rsidRPr="00B1335B">
        <w:rPr>
          <w:rFonts w:cs="Times New Roman"/>
        </w:rPr>
        <w:t>s</w:t>
      </w:r>
      <w:r w:rsidR="00CA7916" w:rsidRPr="00B1335B">
        <w:rPr>
          <w:rFonts w:cs="Times New Roman"/>
        </w:rPr>
        <w:t xml:space="preserve"> of </w:t>
      </w:r>
      <w:r w:rsidR="002372B0" w:rsidRPr="00B1335B">
        <w:rPr>
          <w:rFonts w:cs="Times New Roman"/>
        </w:rPr>
        <w:t xml:space="preserve">Honesty </w:t>
      </w:r>
      <w:r w:rsidR="003554D9" w:rsidRPr="00B1335B">
        <w:rPr>
          <w:rFonts w:cs="Times New Roman"/>
        </w:rPr>
        <w:t xml:space="preserve">and Disclosure </w:t>
      </w:r>
      <w:r w:rsidR="002372B0" w:rsidRPr="00B1335B">
        <w:rPr>
          <w:rFonts w:cs="Times New Roman"/>
        </w:rPr>
        <w:t>i</w:t>
      </w:r>
      <w:r w:rsidR="00707DD7" w:rsidRPr="00B1335B">
        <w:rPr>
          <w:rFonts w:cs="Times New Roman"/>
        </w:rPr>
        <w:t>n Mediation</w:t>
      </w:r>
      <w:r w:rsidR="000926E0">
        <w:rPr>
          <w:rFonts w:cs="Times New Roman"/>
        </w:rPr>
        <w:br/>
      </w:r>
      <w:r w:rsidR="00707DD7" w:rsidRPr="000926E0">
        <w:rPr>
          <w:rFonts w:cs="Times New Roman"/>
        </w:rPr>
        <w:t xml:space="preserve"> </w:t>
      </w:r>
    </w:p>
    <w:p w14:paraId="0F38941B" w14:textId="1905E9E8" w:rsidR="005E1BA5" w:rsidRPr="00B1335B" w:rsidRDefault="003E7030" w:rsidP="00622140">
      <w:pPr>
        <w:spacing w:line="240" w:lineRule="auto"/>
        <w:ind w:firstLine="454"/>
        <w:jc w:val="both"/>
        <w:rPr>
          <w:rFonts w:cs="Times New Roman"/>
        </w:rPr>
      </w:pPr>
      <w:r w:rsidRPr="00B1335B">
        <w:rPr>
          <w:rFonts w:cs="Times New Roman"/>
        </w:rPr>
        <w:t>The natural</w:t>
      </w:r>
      <w:r w:rsidR="003B7881" w:rsidRPr="00B1335B">
        <w:rPr>
          <w:rFonts w:cs="Times New Roman"/>
        </w:rPr>
        <w:t xml:space="preserve"> starting point for any </w:t>
      </w:r>
      <w:r w:rsidR="00145A2B" w:rsidRPr="00B1335B">
        <w:rPr>
          <w:rFonts w:cs="Times New Roman"/>
        </w:rPr>
        <w:t>examination</w:t>
      </w:r>
      <w:r w:rsidR="00CA7916" w:rsidRPr="00B1335B">
        <w:rPr>
          <w:rFonts w:cs="Times New Roman"/>
        </w:rPr>
        <w:t xml:space="preserve"> of lawyers’ ethics in the United States is </w:t>
      </w:r>
      <w:r w:rsidR="003B7881" w:rsidRPr="00B1335B">
        <w:rPr>
          <w:rFonts w:cs="Times New Roman"/>
        </w:rPr>
        <w:t xml:space="preserve">the American Bar Association’s </w:t>
      </w:r>
      <w:r w:rsidR="003B7881" w:rsidRPr="00B1335B">
        <w:rPr>
          <w:rFonts w:cs="Times New Roman"/>
          <w:i/>
        </w:rPr>
        <w:t>Model Rules of Professional Conduct</w:t>
      </w:r>
      <w:r w:rsidR="00CA7916" w:rsidRPr="00B1335B">
        <w:rPr>
          <w:rFonts w:cs="Times New Roman"/>
        </w:rPr>
        <w:t xml:space="preserve">. </w:t>
      </w:r>
      <w:r w:rsidR="003B7881" w:rsidRPr="00B1335B">
        <w:rPr>
          <w:rFonts w:cs="Times New Roman"/>
        </w:rPr>
        <w:t xml:space="preserve">While </w:t>
      </w:r>
      <w:r w:rsidR="00145A2B" w:rsidRPr="00B1335B">
        <w:rPr>
          <w:rFonts w:cs="Times New Roman"/>
        </w:rPr>
        <w:t xml:space="preserve">the </w:t>
      </w:r>
      <w:r w:rsidR="003A7314" w:rsidRPr="00B1335B">
        <w:rPr>
          <w:rFonts w:cs="Times New Roman"/>
        </w:rPr>
        <w:t>superior courts of each state</w:t>
      </w:r>
      <w:r w:rsidR="003B7881" w:rsidRPr="00B1335B">
        <w:rPr>
          <w:rFonts w:cs="Times New Roman"/>
        </w:rPr>
        <w:t xml:space="preserve"> retain ultimate authority for the a</w:t>
      </w:r>
      <w:r w:rsidRPr="00B1335B">
        <w:rPr>
          <w:rFonts w:cs="Times New Roman"/>
        </w:rPr>
        <w:t>doption of ethical standards in</w:t>
      </w:r>
      <w:r w:rsidR="00145A2B" w:rsidRPr="00B1335B">
        <w:rPr>
          <w:rFonts w:cs="Times New Roman"/>
        </w:rPr>
        <w:t xml:space="preserve"> </w:t>
      </w:r>
      <w:r w:rsidR="003B7881" w:rsidRPr="00B1335B">
        <w:rPr>
          <w:rFonts w:cs="Times New Roman"/>
        </w:rPr>
        <w:t xml:space="preserve">their respective jurisdictions, the </w:t>
      </w:r>
      <w:r w:rsidR="003B7881" w:rsidRPr="00B1335B">
        <w:rPr>
          <w:rFonts w:cs="Times New Roman"/>
          <w:i/>
        </w:rPr>
        <w:t xml:space="preserve">Model Rules </w:t>
      </w:r>
      <w:r w:rsidR="003B7881" w:rsidRPr="00B1335B">
        <w:rPr>
          <w:rFonts w:cs="Times New Roman"/>
        </w:rPr>
        <w:t xml:space="preserve">now form the basis for the </w:t>
      </w:r>
      <w:r w:rsidR="00CA7916" w:rsidRPr="00B1335B">
        <w:rPr>
          <w:rFonts w:cs="Times New Roman"/>
        </w:rPr>
        <w:t xml:space="preserve">applicable </w:t>
      </w:r>
      <w:r w:rsidR="00145A2B" w:rsidRPr="00B1335B">
        <w:rPr>
          <w:rFonts w:cs="Times New Roman"/>
        </w:rPr>
        <w:t xml:space="preserve">professional conduct rules in </w:t>
      </w:r>
      <w:r w:rsidR="003B7881" w:rsidRPr="00B1335B">
        <w:rPr>
          <w:rFonts w:cs="Times New Roman"/>
        </w:rPr>
        <w:t>all states other than California.</w:t>
      </w:r>
      <w:r w:rsidR="00145A2B" w:rsidRPr="00B1335B">
        <w:rPr>
          <w:rStyle w:val="FootnoteReference"/>
          <w:rFonts w:cs="Times New Roman"/>
        </w:rPr>
        <w:footnoteReference w:id="8"/>
      </w:r>
      <w:r w:rsidR="003B7881" w:rsidRPr="00B1335B">
        <w:rPr>
          <w:rFonts w:cs="Times New Roman"/>
        </w:rPr>
        <w:t xml:space="preserve"> </w:t>
      </w:r>
      <w:r w:rsidR="00CA7916" w:rsidRPr="00B1335B">
        <w:rPr>
          <w:rFonts w:cs="Times New Roman"/>
        </w:rPr>
        <w:t xml:space="preserve">As such, the </w:t>
      </w:r>
      <w:r w:rsidR="00CA7916" w:rsidRPr="00B1335B">
        <w:rPr>
          <w:rFonts w:cs="Times New Roman"/>
          <w:i/>
        </w:rPr>
        <w:t xml:space="preserve">Model Rules </w:t>
      </w:r>
      <w:r w:rsidR="00145A2B" w:rsidRPr="00B1335B">
        <w:rPr>
          <w:rFonts w:cs="Times New Roman"/>
        </w:rPr>
        <w:t xml:space="preserve">have come to </w:t>
      </w:r>
      <w:r w:rsidR="00CA7916" w:rsidRPr="00B1335B">
        <w:rPr>
          <w:rFonts w:cs="Times New Roman"/>
        </w:rPr>
        <w:t>encapsulate the core tenants of ethical legal prac</w:t>
      </w:r>
      <w:r w:rsidR="00145A2B" w:rsidRPr="00B1335B">
        <w:rPr>
          <w:rFonts w:cs="Times New Roman"/>
        </w:rPr>
        <w:t xml:space="preserve">tice in the </w:t>
      </w:r>
      <w:r w:rsidR="00145A2B" w:rsidRPr="00B1335B">
        <w:rPr>
          <w:rFonts w:cs="Times New Roman"/>
        </w:rPr>
        <w:lastRenderedPageBreak/>
        <w:t>United States, including with respect to obligations of honesty and candor</w:t>
      </w:r>
      <w:r w:rsidR="00CA7916" w:rsidRPr="00B1335B">
        <w:rPr>
          <w:rFonts w:cs="Times New Roman"/>
        </w:rPr>
        <w:t>.</w:t>
      </w:r>
    </w:p>
    <w:p w14:paraId="77C22CBD" w14:textId="33BF7A5A" w:rsidR="000078F2" w:rsidRPr="00B1335B" w:rsidRDefault="00145A2B" w:rsidP="00622140">
      <w:pPr>
        <w:spacing w:line="240" w:lineRule="auto"/>
        <w:ind w:firstLine="454"/>
        <w:jc w:val="both"/>
        <w:rPr>
          <w:rFonts w:cs="Times New Roman"/>
        </w:rPr>
      </w:pPr>
      <w:r w:rsidRPr="00B1335B">
        <w:rPr>
          <w:rFonts w:cs="Times New Roman"/>
        </w:rPr>
        <w:t>In light of their prim</w:t>
      </w:r>
      <w:r w:rsidR="00B02F69" w:rsidRPr="00B1335B">
        <w:rPr>
          <w:rFonts w:cs="Times New Roman"/>
        </w:rPr>
        <w:t>acy as</w:t>
      </w:r>
      <w:r w:rsidR="00903A1E" w:rsidRPr="00B1335B">
        <w:rPr>
          <w:rFonts w:cs="Times New Roman"/>
        </w:rPr>
        <w:t xml:space="preserve"> standards of</w:t>
      </w:r>
      <w:r w:rsidRPr="00B1335B">
        <w:rPr>
          <w:rFonts w:cs="Times New Roman"/>
        </w:rPr>
        <w:t xml:space="preserve"> professional conduct, it is perhaps surprising</w:t>
      </w:r>
      <w:r w:rsidR="00C164AD" w:rsidRPr="00B1335B">
        <w:rPr>
          <w:rFonts w:cs="Times New Roman"/>
        </w:rPr>
        <w:t xml:space="preserve"> then</w:t>
      </w:r>
      <w:r w:rsidRPr="00B1335B">
        <w:rPr>
          <w:rFonts w:cs="Times New Roman"/>
        </w:rPr>
        <w:t xml:space="preserve"> that</w:t>
      </w:r>
      <w:r w:rsidR="00CA7916" w:rsidRPr="00B1335B">
        <w:rPr>
          <w:rFonts w:cs="Times New Roman"/>
        </w:rPr>
        <w:t xml:space="preserve"> the </w:t>
      </w:r>
      <w:r w:rsidR="00CA7916" w:rsidRPr="00B1335B">
        <w:rPr>
          <w:rFonts w:cs="Times New Roman"/>
          <w:i/>
        </w:rPr>
        <w:t xml:space="preserve">Model Rules </w:t>
      </w:r>
      <w:r w:rsidRPr="00B1335B">
        <w:rPr>
          <w:rFonts w:cs="Times New Roman"/>
        </w:rPr>
        <w:t>do not directly address</w:t>
      </w:r>
      <w:r w:rsidR="00CA7916" w:rsidRPr="00B1335B">
        <w:rPr>
          <w:rFonts w:cs="Times New Roman"/>
        </w:rPr>
        <w:t xml:space="preserve"> mediation. </w:t>
      </w:r>
      <w:r w:rsidR="006D0C34" w:rsidRPr="00B1335B">
        <w:rPr>
          <w:rFonts w:cs="Times New Roman"/>
        </w:rPr>
        <w:t xml:space="preserve">Rather, </w:t>
      </w:r>
      <w:r w:rsidR="00903A1E" w:rsidRPr="00B1335B">
        <w:rPr>
          <w:rFonts w:cs="Times New Roman"/>
        </w:rPr>
        <w:t xml:space="preserve">the obligations of lawyers engaged in </w:t>
      </w:r>
      <w:r w:rsidR="006D0C34" w:rsidRPr="00B1335B">
        <w:rPr>
          <w:rFonts w:cs="Times New Roman"/>
        </w:rPr>
        <w:t xml:space="preserve">mediation </w:t>
      </w:r>
      <w:r w:rsidR="00903A1E" w:rsidRPr="00B1335B">
        <w:rPr>
          <w:rFonts w:cs="Times New Roman"/>
        </w:rPr>
        <w:t xml:space="preserve">fall under the </w:t>
      </w:r>
      <w:r w:rsidR="001F21EF" w:rsidRPr="00B1335B">
        <w:rPr>
          <w:rFonts w:cs="Times New Roman"/>
        </w:rPr>
        <w:t xml:space="preserve">general umbrella of </w:t>
      </w:r>
      <w:r w:rsidR="00FF4996" w:rsidRPr="00B1335B">
        <w:rPr>
          <w:rFonts w:cs="Times New Roman"/>
        </w:rPr>
        <w:t xml:space="preserve">Rule 4.1 </w:t>
      </w:r>
      <w:r w:rsidR="007D5782" w:rsidRPr="00B1335B">
        <w:rPr>
          <w:rFonts w:cs="Times New Roman"/>
        </w:rPr>
        <w:t xml:space="preserve">concerning </w:t>
      </w:r>
      <w:r w:rsidR="00FF4996" w:rsidRPr="00B1335B">
        <w:rPr>
          <w:rFonts w:cs="Times New Roman"/>
          <w:i/>
        </w:rPr>
        <w:t>“Statements to Others”</w:t>
      </w:r>
      <w:r w:rsidR="000078F2" w:rsidRPr="00B1335B">
        <w:rPr>
          <w:rFonts w:cs="Times New Roman"/>
        </w:rPr>
        <w:t xml:space="preserve">, and in particular </w:t>
      </w:r>
      <w:r w:rsidR="004201B2" w:rsidRPr="00B1335B">
        <w:rPr>
          <w:rFonts w:cs="Times New Roman"/>
        </w:rPr>
        <w:t>Rule 4.1</w:t>
      </w:r>
      <w:r w:rsidR="00F20C8D" w:rsidRPr="00B1335B">
        <w:rPr>
          <w:rFonts w:cs="Times New Roman"/>
        </w:rPr>
        <w:t>(a)</w:t>
      </w:r>
      <w:r w:rsidR="000078F2" w:rsidRPr="00B1335B">
        <w:rPr>
          <w:rFonts w:cs="Times New Roman"/>
        </w:rPr>
        <w:t xml:space="preserve">, which prohibits lawyers </w:t>
      </w:r>
      <w:r w:rsidR="004201B2" w:rsidRPr="00B1335B">
        <w:rPr>
          <w:rFonts w:cs="Times New Roman"/>
        </w:rPr>
        <w:t xml:space="preserve">from knowingly making false statements of material fact or law to third parties. </w:t>
      </w:r>
      <w:r w:rsidR="006D66D6" w:rsidRPr="00B1335B">
        <w:rPr>
          <w:rFonts w:cs="Times New Roman"/>
        </w:rPr>
        <w:t>T</w:t>
      </w:r>
      <w:r w:rsidR="00752EBB" w:rsidRPr="00B1335B">
        <w:rPr>
          <w:rFonts w:cs="Times New Roman"/>
        </w:rPr>
        <w:t>he commen</w:t>
      </w:r>
      <w:r w:rsidR="000078F2" w:rsidRPr="00B1335B">
        <w:rPr>
          <w:rFonts w:cs="Times New Roman"/>
        </w:rPr>
        <w:t xml:space="preserve">ts to Rule 4.1 confirm that this obligation is not </w:t>
      </w:r>
      <w:r w:rsidR="003E7030" w:rsidRPr="00B1335B">
        <w:rPr>
          <w:rFonts w:cs="Times New Roman"/>
        </w:rPr>
        <w:t xml:space="preserve">solely confined </w:t>
      </w:r>
      <w:r w:rsidR="000078F2" w:rsidRPr="00B1335B">
        <w:rPr>
          <w:rFonts w:cs="Times New Roman"/>
        </w:rPr>
        <w:t xml:space="preserve">to positive </w:t>
      </w:r>
      <w:r w:rsidR="003E7030" w:rsidRPr="00B1335B">
        <w:rPr>
          <w:rFonts w:cs="Times New Roman"/>
        </w:rPr>
        <w:t>misstatements</w:t>
      </w:r>
      <w:r w:rsidR="000078F2" w:rsidRPr="00B1335B">
        <w:rPr>
          <w:rFonts w:cs="Times New Roman"/>
        </w:rPr>
        <w:t>. A lawyer may also make a misrepresentation</w:t>
      </w:r>
      <w:r w:rsidR="006D66D6" w:rsidRPr="00B1335B">
        <w:rPr>
          <w:rFonts w:cs="Times New Roman"/>
        </w:rPr>
        <w:t xml:space="preserve"> by incorporating or affirming the statement of another, or by the use o</w:t>
      </w:r>
      <w:r w:rsidR="00B02F69" w:rsidRPr="00B1335B">
        <w:rPr>
          <w:rFonts w:cs="Times New Roman"/>
        </w:rPr>
        <w:t>f a misleading partial truth or</w:t>
      </w:r>
      <w:r w:rsidR="001B0476" w:rsidRPr="00B1335B">
        <w:rPr>
          <w:rFonts w:cs="Times New Roman"/>
        </w:rPr>
        <w:t xml:space="preserve"> </w:t>
      </w:r>
      <w:r w:rsidR="006D66D6" w:rsidRPr="00B1335B">
        <w:rPr>
          <w:rFonts w:cs="Times New Roman"/>
        </w:rPr>
        <w:t>omission that is the equivalent of an affirmative false statement.</w:t>
      </w:r>
      <w:r w:rsidR="006D66D6" w:rsidRPr="00B1335B">
        <w:rPr>
          <w:rStyle w:val="FootnoteReference"/>
          <w:rFonts w:cs="Times New Roman"/>
        </w:rPr>
        <w:footnoteReference w:id="9"/>
      </w:r>
      <w:r w:rsidR="006D66D6" w:rsidRPr="00B1335B">
        <w:rPr>
          <w:rFonts w:cs="Times New Roman"/>
        </w:rPr>
        <w:t xml:space="preserve"> In addition, Rule 8.4 imposes a general prohibition on lawyers engaging in dishonest, deceitful and fraudulent conduct. </w:t>
      </w:r>
    </w:p>
    <w:p w14:paraId="31F386BF" w14:textId="6F3B365C" w:rsidR="00D143D4" w:rsidRPr="00B1335B" w:rsidRDefault="004201B2" w:rsidP="00622140">
      <w:pPr>
        <w:spacing w:line="240" w:lineRule="auto"/>
        <w:ind w:firstLine="454"/>
        <w:jc w:val="both"/>
        <w:rPr>
          <w:rFonts w:cs="Times New Roman"/>
        </w:rPr>
      </w:pPr>
      <w:r w:rsidRPr="00B1335B">
        <w:rPr>
          <w:rFonts w:cs="Times New Roman"/>
        </w:rPr>
        <w:t xml:space="preserve">While these rules would, at a minimum, appear to forbid lawyers from lying during mediation, </w:t>
      </w:r>
      <w:r w:rsidR="00AD68AB" w:rsidRPr="00B1335B">
        <w:rPr>
          <w:rFonts w:cs="Times New Roman"/>
        </w:rPr>
        <w:t xml:space="preserve">there are </w:t>
      </w:r>
      <w:r w:rsidRPr="00B1335B">
        <w:rPr>
          <w:rFonts w:cs="Times New Roman"/>
        </w:rPr>
        <w:t>two substantial caveats t</w:t>
      </w:r>
      <w:r w:rsidR="00B0406B" w:rsidRPr="00B1335B">
        <w:rPr>
          <w:rFonts w:cs="Times New Roman"/>
        </w:rPr>
        <w:t xml:space="preserve">o that </w:t>
      </w:r>
      <w:r w:rsidR="00D143D4" w:rsidRPr="00B1335B">
        <w:rPr>
          <w:rFonts w:cs="Times New Roman"/>
        </w:rPr>
        <w:t>proposition that</w:t>
      </w:r>
      <w:r w:rsidR="00AD68AB" w:rsidRPr="00B1335B">
        <w:rPr>
          <w:rFonts w:cs="Times New Roman"/>
        </w:rPr>
        <w:t xml:space="preserve"> require</w:t>
      </w:r>
      <w:r w:rsidRPr="00B1335B">
        <w:rPr>
          <w:rFonts w:cs="Times New Roman"/>
        </w:rPr>
        <w:t xml:space="preserve"> further attention. </w:t>
      </w:r>
    </w:p>
    <w:p w14:paraId="66A5419F" w14:textId="6D704D47" w:rsidR="00D143D4" w:rsidRPr="00B1335B" w:rsidRDefault="004201B2" w:rsidP="00622140">
      <w:pPr>
        <w:spacing w:line="240" w:lineRule="auto"/>
        <w:ind w:firstLine="454"/>
        <w:jc w:val="both"/>
        <w:rPr>
          <w:rFonts w:cs="Times New Roman"/>
        </w:rPr>
      </w:pPr>
      <w:r w:rsidRPr="00B1335B">
        <w:rPr>
          <w:rFonts w:cs="Times New Roman"/>
        </w:rPr>
        <w:t>First</w:t>
      </w:r>
      <w:r w:rsidR="002B4D22" w:rsidRPr="00B1335B">
        <w:rPr>
          <w:rFonts w:cs="Times New Roman"/>
        </w:rPr>
        <w:t>,</w:t>
      </w:r>
      <w:r w:rsidR="00C91867" w:rsidRPr="00B1335B">
        <w:rPr>
          <w:rFonts w:cs="Times New Roman"/>
        </w:rPr>
        <w:t xml:space="preserve"> the obligation of truthfulness </w:t>
      </w:r>
      <w:r w:rsidR="006D0C34" w:rsidRPr="00B1335B">
        <w:rPr>
          <w:rFonts w:cs="Times New Roman"/>
        </w:rPr>
        <w:t xml:space="preserve">in Rule 4.1(a) </w:t>
      </w:r>
      <w:r w:rsidR="00C91867" w:rsidRPr="00B1335B">
        <w:rPr>
          <w:rFonts w:cs="Times New Roman"/>
        </w:rPr>
        <w:t xml:space="preserve">is confined to statements of </w:t>
      </w:r>
      <w:r w:rsidR="00C91867" w:rsidRPr="00B1335B">
        <w:rPr>
          <w:rFonts w:cs="Times New Roman"/>
          <w:i/>
        </w:rPr>
        <w:t xml:space="preserve">material </w:t>
      </w:r>
      <w:r w:rsidR="00C91867" w:rsidRPr="00B1335B">
        <w:rPr>
          <w:rFonts w:cs="Times New Roman"/>
        </w:rPr>
        <w:t>fact and law. This is i</w:t>
      </w:r>
      <w:r w:rsidR="00A961D9">
        <w:rPr>
          <w:rFonts w:cs="Times New Roman"/>
        </w:rPr>
        <w:t>n contrast to the more onerous</w:t>
      </w:r>
      <w:r w:rsidR="00C91867" w:rsidRPr="00B1335B">
        <w:rPr>
          <w:rFonts w:cs="Times New Roman"/>
        </w:rPr>
        <w:t xml:space="preserve"> standard that </w:t>
      </w:r>
      <w:r w:rsidR="003B2CD7" w:rsidRPr="00B1335B">
        <w:rPr>
          <w:rFonts w:cs="Times New Roman"/>
        </w:rPr>
        <w:t xml:space="preserve">applies in the context of </w:t>
      </w:r>
      <w:r w:rsidR="00BE6947" w:rsidRPr="00B1335B">
        <w:rPr>
          <w:rFonts w:cs="Times New Roman"/>
        </w:rPr>
        <w:t>other forms of dispute resolution</w:t>
      </w:r>
      <w:r w:rsidR="00C91867" w:rsidRPr="00B1335B">
        <w:rPr>
          <w:rFonts w:cs="Times New Roman"/>
        </w:rPr>
        <w:t>, wh</w:t>
      </w:r>
      <w:r w:rsidR="004E6B46" w:rsidRPr="00B1335B">
        <w:rPr>
          <w:rFonts w:cs="Times New Roman"/>
        </w:rPr>
        <w:t>ere lawyers are prohibited fro</w:t>
      </w:r>
      <w:r w:rsidR="00D143D4" w:rsidRPr="00B1335B">
        <w:rPr>
          <w:rFonts w:cs="Times New Roman"/>
        </w:rPr>
        <w:t xml:space="preserve">m making </w:t>
      </w:r>
      <w:r w:rsidR="00D143D4" w:rsidRPr="00B1335B">
        <w:rPr>
          <w:rFonts w:cs="Times New Roman"/>
          <w:i/>
        </w:rPr>
        <w:t xml:space="preserve">any </w:t>
      </w:r>
      <w:r w:rsidR="003B2CD7" w:rsidRPr="00B1335B">
        <w:rPr>
          <w:rFonts w:cs="Times New Roman"/>
        </w:rPr>
        <w:t xml:space="preserve">false statements of fact </w:t>
      </w:r>
      <w:r w:rsidR="00F52063" w:rsidRPr="00B1335B">
        <w:rPr>
          <w:rFonts w:cs="Times New Roman"/>
        </w:rPr>
        <w:t xml:space="preserve">or law </w:t>
      </w:r>
      <w:r w:rsidR="003B2CD7" w:rsidRPr="00B1335B">
        <w:rPr>
          <w:rFonts w:cs="Times New Roman"/>
        </w:rPr>
        <w:t>to the</w:t>
      </w:r>
      <w:r w:rsidR="00D143D4" w:rsidRPr="00B1335B">
        <w:rPr>
          <w:rFonts w:cs="Times New Roman"/>
        </w:rPr>
        <w:t xml:space="preserve"> adjudicative body</w:t>
      </w:r>
      <w:r w:rsidR="004E6B46" w:rsidRPr="00B1335B">
        <w:rPr>
          <w:rFonts w:cs="Times New Roman"/>
        </w:rPr>
        <w:t>.</w:t>
      </w:r>
      <w:r w:rsidR="00D82097" w:rsidRPr="00B1335B">
        <w:rPr>
          <w:rStyle w:val="FootnoteReference"/>
          <w:rFonts w:cs="Times New Roman"/>
        </w:rPr>
        <w:footnoteReference w:id="10"/>
      </w:r>
      <w:r w:rsidR="00D143D4" w:rsidRPr="00B1335B">
        <w:rPr>
          <w:rFonts w:cs="Times New Roman"/>
        </w:rPr>
        <w:t xml:space="preserve"> The term </w:t>
      </w:r>
      <w:r w:rsidR="00D143D4" w:rsidRPr="00B1335B">
        <w:rPr>
          <w:rFonts w:cs="Times New Roman"/>
          <w:i/>
        </w:rPr>
        <w:t xml:space="preserve">“material” </w:t>
      </w:r>
      <w:r w:rsidR="003B2CD7" w:rsidRPr="00B1335B">
        <w:rPr>
          <w:rFonts w:cs="Times New Roman"/>
        </w:rPr>
        <w:t>is not defined in</w:t>
      </w:r>
      <w:r w:rsidR="00D143D4" w:rsidRPr="00B1335B">
        <w:rPr>
          <w:rFonts w:cs="Times New Roman"/>
        </w:rPr>
        <w:t xml:space="preserve"> the Model Rules,</w:t>
      </w:r>
      <w:r w:rsidR="004E6B46" w:rsidRPr="00B1335B">
        <w:rPr>
          <w:rFonts w:cs="Times New Roman"/>
        </w:rPr>
        <w:t xml:space="preserve"> and its meaning </w:t>
      </w:r>
      <w:r w:rsidR="004E6B46" w:rsidRPr="00B1335B">
        <w:rPr>
          <w:rFonts w:cs="Times New Roman"/>
        </w:rPr>
        <w:lastRenderedPageBreak/>
        <w:t>remains open for</w:t>
      </w:r>
      <w:r w:rsidR="00D143D4" w:rsidRPr="00B1335B">
        <w:rPr>
          <w:rFonts w:cs="Times New Roman"/>
        </w:rPr>
        <w:t xml:space="preserve"> interpretation</w:t>
      </w:r>
      <w:r w:rsidR="008A2ABD" w:rsidRPr="00B1335B">
        <w:rPr>
          <w:rFonts w:cs="Times New Roman"/>
        </w:rPr>
        <w:t>.</w:t>
      </w:r>
      <w:r w:rsidR="008A2ABD" w:rsidRPr="00B1335B">
        <w:rPr>
          <w:rStyle w:val="FootnoteReference"/>
          <w:rFonts w:cs="Times New Roman"/>
        </w:rPr>
        <w:footnoteReference w:id="11"/>
      </w:r>
      <w:r w:rsidR="003E7030" w:rsidRPr="00B1335B">
        <w:rPr>
          <w:rFonts w:cs="Times New Roman"/>
        </w:rPr>
        <w:t xml:space="preserve"> </w:t>
      </w:r>
      <w:r w:rsidR="004E6B46" w:rsidRPr="00B1335B">
        <w:rPr>
          <w:rFonts w:cs="Times New Roman"/>
        </w:rPr>
        <w:t xml:space="preserve">What is clear, however, is that </w:t>
      </w:r>
      <w:r w:rsidR="00D143D4" w:rsidRPr="00B1335B">
        <w:rPr>
          <w:rFonts w:cs="Times New Roman"/>
        </w:rPr>
        <w:t>the</w:t>
      </w:r>
      <w:r w:rsidR="0038673F" w:rsidRPr="00B1335B">
        <w:rPr>
          <w:rFonts w:cs="Times New Roman"/>
        </w:rPr>
        <w:t xml:space="preserve"> standard of honesty expected of</w:t>
      </w:r>
      <w:r w:rsidR="007A766B">
        <w:rPr>
          <w:rFonts w:cs="Times New Roman"/>
        </w:rPr>
        <w:t xml:space="preserve"> lawyers engaged </w:t>
      </w:r>
      <w:r w:rsidR="00D143D4" w:rsidRPr="00B1335B">
        <w:rPr>
          <w:rFonts w:cs="Times New Roman"/>
        </w:rPr>
        <w:t xml:space="preserve">in mediation is of a less stringent kind than that applied </w:t>
      </w:r>
      <w:r w:rsidR="0038673F" w:rsidRPr="00B1335B">
        <w:rPr>
          <w:rFonts w:cs="Times New Roman"/>
        </w:rPr>
        <w:t>to</w:t>
      </w:r>
      <w:r w:rsidR="007A766B">
        <w:rPr>
          <w:rFonts w:cs="Times New Roman"/>
        </w:rPr>
        <w:t xml:space="preserve"> other</w:t>
      </w:r>
      <w:r w:rsidR="00D143D4" w:rsidRPr="00B1335B">
        <w:rPr>
          <w:rFonts w:cs="Times New Roman"/>
        </w:rPr>
        <w:t xml:space="preserve"> forms of dispute resolution. </w:t>
      </w:r>
      <w:r w:rsidR="006D0C34" w:rsidRPr="00B1335B">
        <w:rPr>
          <w:rFonts w:cs="Times New Roman"/>
        </w:rPr>
        <w:t xml:space="preserve">Consistently with his ethical duties as a member of the legal profession, a lawyer engaged in mediation may knowingly </w:t>
      </w:r>
      <w:r w:rsidR="00B02F69" w:rsidRPr="00B1335B">
        <w:rPr>
          <w:rFonts w:cs="Times New Roman"/>
        </w:rPr>
        <w:t>lie</w:t>
      </w:r>
      <w:r w:rsidR="006D0C34" w:rsidRPr="00B1335B">
        <w:rPr>
          <w:rFonts w:cs="Times New Roman"/>
        </w:rPr>
        <w:t xml:space="preserve"> to </w:t>
      </w:r>
      <w:r w:rsidR="00B02F69" w:rsidRPr="00B1335B">
        <w:rPr>
          <w:rFonts w:cs="Times New Roman"/>
        </w:rPr>
        <w:t xml:space="preserve">both the mediator and </w:t>
      </w:r>
      <w:r w:rsidR="00A961D9">
        <w:rPr>
          <w:rFonts w:cs="Times New Roman"/>
        </w:rPr>
        <w:t>opposing parties</w:t>
      </w:r>
      <w:r w:rsidR="00401115" w:rsidRPr="00B1335B">
        <w:rPr>
          <w:rFonts w:cs="Times New Roman"/>
        </w:rPr>
        <w:t xml:space="preserve">, so long as </w:t>
      </w:r>
      <w:r w:rsidR="00F52063" w:rsidRPr="00B1335B">
        <w:rPr>
          <w:rFonts w:cs="Times New Roman"/>
        </w:rPr>
        <w:t xml:space="preserve">the </w:t>
      </w:r>
      <w:r w:rsidR="00B02F69" w:rsidRPr="00B1335B">
        <w:rPr>
          <w:rFonts w:cs="Times New Roman"/>
        </w:rPr>
        <w:t>lie does not</w:t>
      </w:r>
      <w:r w:rsidR="00401115" w:rsidRPr="00B1335B">
        <w:rPr>
          <w:rFonts w:cs="Times New Roman"/>
        </w:rPr>
        <w:t xml:space="preserve"> include a fals</w:t>
      </w:r>
      <w:r w:rsidR="00A961D9">
        <w:rPr>
          <w:rFonts w:cs="Times New Roman"/>
        </w:rPr>
        <w:t>e statement of fact or law that</w:t>
      </w:r>
      <w:r w:rsidR="00401115" w:rsidRPr="00B1335B">
        <w:rPr>
          <w:rFonts w:cs="Times New Roman"/>
        </w:rPr>
        <w:t xml:space="preserve"> is </w:t>
      </w:r>
      <w:r w:rsidR="00401115" w:rsidRPr="00B1335B">
        <w:rPr>
          <w:rFonts w:cs="Times New Roman"/>
          <w:i/>
        </w:rPr>
        <w:t>“material”.</w:t>
      </w:r>
      <w:r w:rsidR="005B26E5" w:rsidRPr="00B1335B">
        <w:rPr>
          <w:rStyle w:val="FootnoteReference"/>
          <w:rFonts w:cs="Times New Roman"/>
          <w:i/>
        </w:rPr>
        <w:footnoteReference w:id="12"/>
      </w:r>
      <w:r w:rsidR="00401115" w:rsidRPr="00B1335B">
        <w:rPr>
          <w:rFonts w:cs="Times New Roman"/>
        </w:rPr>
        <w:t xml:space="preserve"> </w:t>
      </w:r>
    </w:p>
    <w:p w14:paraId="2ADEA5AB" w14:textId="4ED87937" w:rsidR="00773178" w:rsidRPr="00B1335B" w:rsidRDefault="00F20C8D" w:rsidP="00622140">
      <w:pPr>
        <w:spacing w:after="0" w:line="240" w:lineRule="auto"/>
        <w:ind w:firstLine="454"/>
        <w:jc w:val="both"/>
        <w:rPr>
          <w:rFonts w:cs="Times New Roman"/>
        </w:rPr>
      </w:pPr>
      <w:r w:rsidRPr="00B1335B">
        <w:rPr>
          <w:rFonts w:cs="Times New Roman"/>
        </w:rPr>
        <w:t>Second</w:t>
      </w:r>
      <w:r w:rsidR="00781868" w:rsidRPr="00B1335B">
        <w:rPr>
          <w:rFonts w:cs="Times New Roman"/>
        </w:rPr>
        <w:t>, it is apparent that different</w:t>
      </w:r>
      <w:r w:rsidRPr="00B1335B">
        <w:rPr>
          <w:rFonts w:cs="Times New Roman"/>
        </w:rPr>
        <w:t xml:space="preserve"> considerations apply where a statement (or misstatement) is made during </w:t>
      </w:r>
      <w:r w:rsidR="00E55019" w:rsidRPr="00B1335B">
        <w:rPr>
          <w:rFonts w:cs="Times New Roman"/>
        </w:rPr>
        <w:t xml:space="preserve">settlement </w:t>
      </w:r>
      <w:r w:rsidRPr="00B1335B">
        <w:rPr>
          <w:rFonts w:cs="Times New Roman"/>
        </w:rPr>
        <w:t>negotiations. T</w:t>
      </w:r>
      <w:r w:rsidR="002636F1" w:rsidRPr="00B1335B">
        <w:rPr>
          <w:rFonts w:cs="Times New Roman"/>
        </w:rPr>
        <w:t xml:space="preserve">he comments to Rule 4.1 </w:t>
      </w:r>
      <w:r w:rsidRPr="00B1335B">
        <w:rPr>
          <w:rFonts w:cs="Times New Roman"/>
        </w:rPr>
        <w:t>include the observation that</w:t>
      </w:r>
      <w:r w:rsidR="00773178" w:rsidRPr="00B1335B">
        <w:rPr>
          <w:rFonts w:cs="Times New Roman"/>
        </w:rPr>
        <w:t>:</w:t>
      </w:r>
    </w:p>
    <w:p w14:paraId="69D7A49E" w14:textId="1CCE1B89" w:rsidR="00773178" w:rsidRPr="00B1335B" w:rsidRDefault="00773178" w:rsidP="00622140">
      <w:pPr>
        <w:pStyle w:val="Quote"/>
        <w:jc w:val="both"/>
        <w:rPr>
          <w:rFonts w:cs="Times New Roman"/>
        </w:rPr>
      </w:pPr>
      <w:r w:rsidRPr="00B1335B">
        <w:rPr>
          <w:rFonts w:cs="Times New Roman"/>
        </w:rPr>
        <w:t xml:space="preserve">Under generally accepted conventions in negotiation, certain types of statements ordinarily are not taken as statements of material fact. Estimates of price or value placed on the subject of a transaction and a party’s intentions as to an acceptable settlement of a claim are ordinarily in this category, and so is the existence of an undisclosed principal except where nondisclosure of the principal would constitute fraud. </w:t>
      </w:r>
    </w:p>
    <w:p w14:paraId="0A26BF92" w14:textId="7894A2E9" w:rsidR="001F21EF" w:rsidRPr="00B1335B" w:rsidRDefault="00F20C8D" w:rsidP="00622140">
      <w:pPr>
        <w:spacing w:line="240" w:lineRule="auto"/>
        <w:ind w:firstLine="454"/>
        <w:jc w:val="both"/>
        <w:rPr>
          <w:rFonts w:cs="Times New Roman"/>
        </w:rPr>
      </w:pPr>
      <w:r w:rsidRPr="00B1335B">
        <w:rPr>
          <w:rFonts w:cs="Times New Roman"/>
        </w:rPr>
        <w:t xml:space="preserve">Pursuant to the </w:t>
      </w:r>
      <w:r w:rsidRPr="00B1335B">
        <w:rPr>
          <w:rFonts w:cs="Times New Roman"/>
          <w:i/>
        </w:rPr>
        <w:t>Model Rules</w:t>
      </w:r>
      <w:r w:rsidRPr="00B1335B">
        <w:rPr>
          <w:rFonts w:cs="Times New Roman"/>
        </w:rPr>
        <w:t xml:space="preserve">, </w:t>
      </w:r>
      <w:r w:rsidR="002636F1" w:rsidRPr="00B1335B">
        <w:rPr>
          <w:rFonts w:cs="Times New Roman"/>
        </w:rPr>
        <w:t xml:space="preserve">a certain degree of dishonesty </w:t>
      </w:r>
      <w:r w:rsidR="00E769BA" w:rsidRPr="00B1335B">
        <w:rPr>
          <w:rFonts w:cs="Times New Roman"/>
        </w:rPr>
        <w:t>is therefor considered to be a natural and ethic</w:t>
      </w:r>
      <w:r w:rsidR="00062067" w:rsidRPr="00B1335B">
        <w:rPr>
          <w:rFonts w:cs="Times New Roman"/>
        </w:rPr>
        <w:t xml:space="preserve">ally sound aspect of </w:t>
      </w:r>
      <w:r w:rsidR="00E55019" w:rsidRPr="00B1335B">
        <w:rPr>
          <w:rFonts w:cs="Times New Roman"/>
        </w:rPr>
        <w:t xml:space="preserve">settlement </w:t>
      </w:r>
      <w:r w:rsidR="00BE6947" w:rsidRPr="00B1335B">
        <w:rPr>
          <w:rFonts w:cs="Times New Roman"/>
        </w:rPr>
        <w:t>negotiations,</w:t>
      </w:r>
      <w:r w:rsidR="00401115" w:rsidRPr="00B1335B">
        <w:rPr>
          <w:rFonts w:cs="Times New Roman"/>
        </w:rPr>
        <w:t xml:space="preserve"> including</w:t>
      </w:r>
      <w:r w:rsidR="00062067" w:rsidRPr="00B1335B">
        <w:rPr>
          <w:rFonts w:cs="Times New Roman"/>
        </w:rPr>
        <w:t xml:space="preserve"> negotiations conducted </w:t>
      </w:r>
      <w:r w:rsidR="00E769BA" w:rsidRPr="00B1335B">
        <w:rPr>
          <w:rFonts w:cs="Times New Roman"/>
        </w:rPr>
        <w:t>through the medium of mediation.</w:t>
      </w:r>
      <w:r w:rsidR="00040DDA" w:rsidRPr="00B1335B">
        <w:rPr>
          <w:rStyle w:val="FootnoteReference"/>
          <w:rFonts w:cs="Times New Roman"/>
        </w:rPr>
        <w:footnoteReference w:id="13"/>
      </w:r>
      <w:r w:rsidR="00E769BA" w:rsidRPr="00B1335B">
        <w:rPr>
          <w:rFonts w:cs="Times New Roman"/>
        </w:rPr>
        <w:t xml:space="preserve"> </w:t>
      </w:r>
      <w:r w:rsidR="00903A1E" w:rsidRPr="00B1335B">
        <w:rPr>
          <w:rFonts w:cs="Times New Roman"/>
        </w:rPr>
        <w:t>Moreover, this is so even where the dishonesty relates to a core aspect of the case such as the price o</w:t>
      </w:r>
      <w:r w:rsidR="002F0431" w:rsidRPr="00B1335B">
        <w:rPr>
          <w:rFonts w:cs="Times New Roman"/>
        </w:rPr>
        <w:t>r value of the thing in dispute</w:t>
      </w:r>
      <w:r w:rsidR="00401115" w:rsidRPr="00B1335B">
        <w:rPr>
          <w:rFonts w:cs="Times New Roman"/>
        </w:rPr>
        <w:t xml:space="preserve">, provided only that </w:t>
      </w:r>
      <w:r w:rsidR="002F0431" w:rsidRPr="00B1335B">
        <w:rPr>
          <w:rFonts w:cs="Times New Roman"/>
        </w:rPr>
        <w:t xml:space="preserve">such dishonesty is consistent with </w:t>
      </w:r>
      <w:r w:rsidR="002F0431" w:rsidRPr="00B1335B">
        <w:rPr>
          <w:rFonts w:cs="Times New Roman"/>
          <w:i/>
        </w:rPr>
        <w:t>“generally accepted conventions in negotiation”.</w:t>
      </w:r>
      <w:r w:rsidR="003E7030" w:rsidRPr="00B1335B">
        <w:rPr>
          <w:rStyle w:val="FootnoteReference"/>
          <w:rFonts w:cs="Times New Roman"/>
        </w:rPr>
        <w:footnoteReference w:id="14"/>
      </w:r>
      <w:r w:rsidR="00401115" w:rsidRPr="00B1335B">
        <w:rPr>
          <w:rFonts w:cs="Times New Roman"/>
          <w:i/>
        </w:rPr>
        <w:t xml:space="preserve"> </w:t>
      </w:r>
      <w:r w:rsidR="009C70AB" w:rsidRPr="00B1335B">
        <w:rPr>
          <w:rFonts w:cs="Times New Roman"/>
        </w:rPr>
        <w:lastRenderedPageBreak/>
        <w:t>As a number of commentators have observed, the use of lies and misleading statements during mediation is apparently</w:t>
      </w:r>
      <w:r w:rsidR="005E1BA5" w:rsidRPr="00B1335B">
        <w:rPr>
          <w:rFonts w:cs="Times New Roman"/>
        </w:rPr>
        <w:t xml:space="preserve"> endemic, and is largely accepted by practitioners as a natural and permissible aspect of the negotiation process.</w:t>
      </w:r>
      <w:r w:rsidR="005E1BA5" w:rsidRPr="00B1335B">
        <w:rPr>
          <w:rStyle w:val="FootnoteReference"/>
          <w:rFonts w:cs="Times New Roman"/>
        </w:rPr>
        <w:footnoteReference w:id="15"/>
      </w:r>
      <w:r w:rsidR="009C70AB" w:rsidRPr="00B1335B">
        <w:rPr>
          <w:rFonts w:cs="Times New Roman"/>
        </w:rPr>
        <w:t xml:space="preserve"> </w:t>
      </w:r>
      <w:r w:rsidR="00805C9C" w:rsidRPr="00B1335B">
        <w:rPr>
          <w:rFonts w:cs="Times New Roman"/>
        </w:rPr>
        <w:t xml:space="preserve">As such, the categories of permissible </w:t>
      </w:r>
      <w:r w:rsidR="009C70AB" w:rsidRPr="00B1335B">
        <w:rPr>
          <w:rFonts w:cs="Times New Roman"/>
        </w:rPr>
        <w:t xml:space="preserve">misdirection encompassed within </w:t>
      </w:r>
      <w:r w:rsidR="009C70AB" w:rsidRPr="00B1335B">
        <w:rPr>
          <w:rFonts w:cs="Times New Roman"/>
          <w:i/>
        </w:rPr>
        <w:t xml:space="preserve">“generally accepted </w:t>
      </w:r>
      <w:r w:rsidR="005E1BA5" w:rsidRPr="00B1335B">
        <w:rPr>
          <w:rFonts w:cs="Times New Roman"/>
          <w:i/>
        </w:rPr>
        <w:t>conventions</w:t>
      </w:r>
      <w:r w:rsidR="009C70AB" w:rsidRPr="00B1335B">
        <w:rPr>
          <w:rFonts w:cs="Times New Roman"/>
          <w:i/>
        </w:rPr>
        <w:t xml:space="preserve"> in </w:t>
      </w:r>
      <w:r w:rsidR="005E1BA5" w:rsidRPr="00B1335B">
        <w:rPr>
          <w:rFonts w:cs="Times New Roman"/>
          <w:i/>
        </w:rPr>
        <w:t>negotiation</w:t>
      </w:r>
      <w:r w:rsidR="009C70AB" w:rsidRPr="00B1335B">
        <w:rPr>
          <w:rFonts w:cs="Times New Roman"/>
          <w:i/>
        </w:rPr>
        <w:t>”</w:t>
      </w:r>
      <w:r w:rsidR="005E1BA5" w:rsidRPr="00B1335B">
        <w:rPr>
          <w:rFonts w:cs="Times New Roman"/>
          <w:i/>
        </w:rPr>
        <w:t xml:space="preserve"> </w:t>
      </w:r>
      <w:r w:rsidR="00805C9C" w:rsidRPr="00B1335B">
        <w:rPr>
          <w:rFonts w:cs="Times New Roman"/>
        </w:rPr>
        <w:t>are likely to be considerably more extensive</w:t>
      </w:r>
      <w:r w:rsidR="005E1BA5" w:rsidRPr="00B1335B">
        <w:rPr>
          <w:rFonts w:cs="Times New Roman"/>
        </w:rPr>
        <w:t xml:space="preserve"> than the specific examples identified</w:t>
      </w:r>
      <w:r w:rsidR="008F7DA0" w:rsidRPr="00B1335B">
        <w:rPr>
          <w:rFonts w:cs="Times New Roman"/>
        </w:rPr>
        <w:t xml:space="preserve"> above.</w:t>
      </w:r>
    </w:p>
    <w:p w14:paraId="5231E11D" w14:textId="239F5DB0" w:rsidR="00062067" w:rsidRPr="00B1335B" w:rsidRDefault="00F20C8D" w:rsidP="00622140">
      <w:pPr>
        <w:spacing w:after="0" w:line="240" w:lineRule="auto"/>
        <w:ind w:firstLine="454"/>
        <w:jc w:val="both"/>
        <w:rPr>
          <w:rFonts w:cs="Times New Roman"/>
        </w:rPr>
      </w:pPr>
      <w:r w:rsidRPr="00B1335B">
        <w:rPr>
          <w:rFonts w:cs="Times New Roman"/>
        </w:rPr>
        <w:t>In addition to dealing with false stateme</w:t>
      </w:r>
      <w:r w:rsidR="0039487A" w:rsidRPr="00B1335B">
        <w:rPr>
          <w:rFonts w:cs="Times New Roman"/>
        </w:rPr>
        <w:t>nts, Rule 4.1 also addresses</w:t>
      </w:r>
      <w:r w:rsidRPr="00B1335B">
        <w:rPr>
          <w:rFonts w:cs="Times New Roman"/>
        </w:rPr>
        <w:t xml:space="preserve"> </w:t>
      </w:r>
      <w:r w:rsidR="008F7DA0" w:rsidRPr="00B1335B">
        <w:rPr>
          <w:rFonts w:cs="Times New Roman"/>
        </w:rPr>
        <w:t>obligations of affirmative disclosure</w:t>
      </w:r>
      <w:r w:rsidRPr="00B1335B">
        <w:rPr>
          <w:rFonts w:cs="Times New Roman"/>
        </w:rPr>
        <w:t xml:space="preserve">. Pursuant to Rule 4.1(b), lawyers are required to disclose a material fact to a third person </w:t>
      </w:r>
      <w:r w:rsidRPr="00B1335B">
        <w:rPr>
          <w:rFonts w:cs="Times New Roman"/>
          <w:i/>
        </w:rPr>
        <w:t xml:space="preserve">“when disclosure is necessary to avoid assisting a criminal or fraudulent act by a client, unless disclosure is prohibited by Rule 1.6.” </w:t>
      </w:r>
      <w:r w:rsidR="00255E82" w:rsidRPr="00B1335B">
        <w:rPr>
          <w:rFonts w:cs="Times New Roman"/>
        </w:rPr>
        <w:t xml:space="preserve">Rule 1.6 concerns the lawyer’s duty </w:t>
      </w:r>
      <w:r w:rsidR="00713743" w:rsidRPr="00B1335B">
        <w:rPr>
          <w:rFonts w:cs="Times New Roman"/>
        </w:rPr>
        <w:t>to maintain the confidentiality of information relating to the representation of a client</w:t>
      </w:r>
      <w:r w:rsidR="00255E82" w:rsidRPr="00B1335B">
        <w:rPr>
          <w:rFonts w:cs="Times New Roman"/>
        </w:rPr>
        <w:t>.</w:t>
      </w:r>
      <w:r w:rsidR="00430CEE" w:rsidRPr="00B1335B">
        <w:rPr>
          <w:rFonts w:cs="Times New Roman"/>
        </w:rPr>
        <w:t xml:space="preserve"> </w:t>
      </w:r>
      <w:r w:rsidR="00062067" w:rsidRPr="00B1335B">
        <w:rPr>
          <w:rFonts w:cs="Times New Roman"/>
        </w:rPr>
        <w:t>Somewha</w:t>
      </w:r>
      <w:r w:rsidR="00860781" w:rsidRPr="00B1335B">
        <w:rPr>
          <w:rFonts w:cs="Times New Roman"/>
        </w:rPr>
        <w:t xml:space="preserve">t circuitously, the obligation of confidentiality imposed by Rule 1.6 is </w:t>
      </w:r>
      <w:r w:rsidR="00062067" w:rsidRPr="00B1335B">
        <w:rPr>
          <w:rFonts w:cs="Times New Roman"/>
        </w:rPr>
        <w:t xml:space="preserve">also subject to an exception </w:t>
      </w:r>
      <w:r w:rsidR="00DA2DB0" w:rsidRPr="00B1335B">
        <w:rPr>
          <w:rFonts w:cs="Times New Roman"/>
        </w:rPr>
        <w:t>under Rule 1.6(b</w:t>
      </w:r>
      <w:proofErr w:type="gramStart"/>
      <w:r w:rsidR="00DA2DB0" w:rsidRPr="00B1335B">
        <w:rPr>
          <w:rFonts w:cs="Times New Roman"/>
        </w:rPr>
        <w:t>)(</w:t>
      </w:r>
      <w:proofErr w:type="gramEnd"/>
      <w:r w:rsidR="00DA2DB0" w:rsidRPr="00B1335B">
        <w:rPr>
          <w:rFonts w:cs="Times New Roman"/>
        </w:rPr>
        <w:t xml:space="preserve">2) </w:t>
      </w:r>
      <w:r w:rsidR="008F7DA0" w:rsidRPr="00B1335B">
        <w:rPr>
          <w:rFonts w:cs="Times New Roman"/>
        </w:rPr>
        <w:t xml:space="preserve">(among others) </w:t>
      </w:r>
      <w:r w:rsidR="00062067" w:rsidRPr="00B1335B">
        <w:rPr>
          <w:rFonts w:cs="Times New Roman"/>
        </w:rPr>
        <w:t>pursuant to which:</w:t>
      </w:r>
    </w:p>
    <w:p w14:paraId="2EBB2642" w14:textId="22B2A1C8" w:rsidR="0049398A" w:rsidRPr="00B1335B" w:rsidRDefault="00062067" w:rsidP="00622140">
      <w:pPr>
        <w:pStyle w:val="Quote"/>
        <w:jc w:val="both"/>
        <w:rPr>
          <w:rFonts w:cs="Times New Roman"/>
        </w:rPr>
      </w:pPr>
      <w:r w:rsidRPr="00B1335B">
        <w:rPr>
          <w:rFonts w:cs="Times New Roman"/>
        </w:rPr>
        <w:t>A lawyer may reveal information relating to the representation of a client to the extent the lawyer reasonably believes necessary… to prevent the client from committing a crime or fraud that is reasonably certain to result in substantial injury to the financial interests or property of another and in furtherance of which the client has used or is using the lawyer’s services</w:t>
      </w:r>
      <w:proofErr w:type="gramStart"/>
      <w:r w:rsidRPr="00B1335B">
        <w:rPr>
          <w:rFonts w:cs="Times New Roman"/>
        </w:rPr>
        <w:t>… .</w:t>
      </w:r>
      <w:proofErr w:type="gramEnd"/>
      <w:r w:rsidRPr="00B1335B">
        <w:rPr>
          <w:rFonts w:cs="Times New Roman"/>
        </w:rPr>
        <w:t xml:space="preserve"> </w:t>
      </w:r>
    </w:p>
    <w:p w14:paraId="07148CD9" w14:textId="34210C0E" w:rsidR="003554D9" w:rsidRPr="00B1335B" w:rsidRDefault="00CA30FA" w:rsidP="00622140">
      <w:pPr>
        <w:spacing w:line="240" w:lineRule="auto"/>
        <w:ind w:firstLine="454"/>
        <w:jc w:val="both"/>
        <w:rPr>
          <w:rFonts w:cs="Times New Roman"/>
          <w:i/>
        </w:rPr>
      </w:pPr>
      <w:r w:rsidRPr="00B1335B">
        <w:rPr>
          <w:rFonts w:cs="Times New Roman"/>
        </w:rPr>
        <w:t xml:space="preserve">As one commentator has explained, the upshot of these various rules and exceptions is that </w:t>
      </w:r>
      <w:r w:rsidR="00DA2DB0" w:rsidRPr="00B1335B">
        <w:rPr>
          <w:rFonts w:cs="Times New Roman"/>
        </w:rPr>
        <w:t xml:space="preserve">lawyers </w:t>
      </w:r>
      <w:r w:rsidR="0049398A" w:rsidRPr="00B1335B">
        <w:rPr>
          <w:rFonts w:cs="Times New Roman"/>
        </w:rPr>
        <w:t xml:space="preserve">in mediation and negotiation </w:t>
      </w:r>
      <w:r w:rsidR="00DA2DB0" w:rsidRPr="00B1335B">
        <w:rPr>
          <w:rFonts w:cs="Times New Roman"/>
        </w:rPr>
        <w:t xml:space="preserve">have </w:t>
      </w:r>
      <w:r w:rsidRPr="00B1335B">
        <w:rPr>
          <w:rFonts w:cs="Times New Roman"/>
          <w:i/>
        </w:rPr>
        <w:t>“an</w:t>
      </w:r>
      <w:r w:rsidR="00DA2DB0" w:rsidRPr="00B1335B">
        <w:rPr>
          <w:rFonts w:cs="Times New Roman"/>
          <w:i/>
        </w:rPr>
        <w:t xml:space="preserve"> affirmative duty…</w:t>
      </w:r>
      <w:r w:rsidRPr="00B1335B">
        <w:rPr>
          <w:rFonts w:cs="Times New Roman"/>
          <w:i/>
        </w:rPr>
        <w:t xml:space="preserve"> to come forward with corrective non-confidential facts to prevent or avoid aiding a criminal or fraudulent act by a client.”</w:t>
      </w:r>
      <w:r w:rsidR="00B6678D" w:rsidRPr="00343070">
        <w:rPr>
          <w:rStyle w:val="FootnoteReference"/>
          <w:rFonts w:cs="Times New Roman"/>
        </w:rPr>
        <w:footnoteReference w:id="16"/>
      </w:r>
      <w:r w:rsidRPr="00343070">
        <w:rPr>
          <w:rFonts w:cs="Times New Roman"/>
        </w:rPr>
        <w:t xml:space="preserve"> </w:t>
      </w:r>
      <w:r w:rsidRPr="00B1335B">
        <w:rPr>
          <w:rFonts w:cs="Times New Roman"/>
        </w:rPr>
        <w:t xml:space="preserve">Where the facts are confidential, however, then the lawyer is under no </w:t>
      </w:r>
      <w:r w:rsidR="00DA2DB0" w:rsidRPr="00B1335B">
        <w:rPr>
          <w:rFonts w:cs="Times New Roman"/>
        </w:rPr>
        <w:t xml:space="preserve">such duty, although he or she </w:t>
      </w:r>
      <w:r w:rsidR="00DA2DB0" w:rsidRPr="00B1335B">
        <w:rPr>
          <w:rFonts w:cs="Times New Roman"/>
          <w:i/>
        </w:rPr>
        <w:t xml:space="preserve">may </w:t>
      </w:r>
      <w:r w:rsidR="00DA2DB0" w:rsidRPr="00B1335B">
        <w:rPr>
          <w:rFonts w:cs="Times New Roman"/>
        </w:rPr>
        <w:t>still elect to disclose</w:t>
      </w:r>
      <w:r w:rsidR="00B6678D" w:rsidRPr="00B1335B">
        <w:rPr>
          <w:rFonts w:cs="Times New Roman"/>
        </w:rPr>
        <w:t xml:space="preserve"> confidential information</w:t>
      </w:r>
      <w:r w:rsidR="00DA2DB0" w:rsidRPr="00B1335B">
        <w:rPr>
          <w:rFonts w:cs="Times New Roman"/>
        </w:rPr>
        <w:t xml:space="preserve"> in certain circumstances, including those set out in </w:t>
      </w:r>
      <w:r w:rsidR="00DA2DB0" w:rsidRPr="00B1335B">
        <w:rPr>
          <w:rFonts w:cs="Times New Roman"/>
        </w:rPr>
        <w:lastRenderedPageBreak/>
        <w:t>Rule 1.6(b)(2).</w:t>
      </w:r>
      <w:r w:rsidR="00311DDE" w:rsidRPr="00B1335B">
        <w:rPr>
          <w:rStyle w:val="FootnoteReference"/>
          <w:rFonts w:cs="Times New Roman"/>
        </w:rPr>
        <w:footnoteReference w:id="17"/>
      </w:r>
      <w:r w:rsidR="00DA2DB0" w:rsidRPr="00B1335B">
        <w:rPr>
          <w:rFonts w:cs="Times New Roman"/>
        </w:rPr>
        <w:t xml:space="preserve"> </w:t>
      </w:r>
      <w:r w:rsidR="008F6436" w:rsidRPr="00B1335B">
        <w:rPr>
          <w:rFonts w:cs="Times New Roman"/>
        </w:rPr>
        <w:t xml:space="preserve">Furthermore, as the comments to Rule 4.1 confirm, in the absence of a criminal or fraudulent act by the client, a lawyer </w:t>
      </w:r>
      <w:r w:rsidR="008F6436" w:rsidRPr="00B1335B">
        <w:rPr>
          <w:rFonts w:cs="Times New Roman"/>
          <w:i/>
        </w:rPr>
        <w:t>“generally has no affirmative duty to inform an opposing party of relevant facts.”</w:t>
      </w:r>
      <w:r w:rsidR="00752EBB" w:rsidRPr="00B1335B">
        <w:rPr>
          <w:rFonts w:cs="Times New Roman"/>
          <w:i/>
        </w:rPr>
        <w:t xml:space="preserve"> </w:t>
      </w:r>
    </w:p>
    <w:p w14:paraId="73E3627A" w14:textId="4F30C055" w:rsidR="0063778C" w:rsidRPr="00B1335B" w:rsidRDefault="00D91F41" w:rsidP="00622140">
      <w:pPr>
        <w:spacing w:line="240" w:lineRule="auto"/>
        <w:ind w:firstLine="454"/>
        <w:jc w:val="both"/>
        <w:rPr>
          <w:rFonts w:cs="Times New Roman"/>
          <w:i/>
        </w:rPr>
      </w:pPr>
      <w:r w:rsidRPr="00B1335B">
        <w:rPr>
          <w:rFonts w:cs="Times New Roman"/>
        </w:rPr>
        <w:t xml:space="preserve">The American Bar Association’s </w:t>
      </w:r>
      <w:r w:rsidRPr="00B1335B">
        <w:rPr>
          <w:rFonts w:cs="Times New Roman"/>
          <w:i/>
        </w:rPr>
        <w:t xml:space="preserve">Ethical Guidelines for Settlement Negotiations </w:t>
      </w:r>
      <w:r w:rsidRPr="00B1335B">
        <w:rPr>
          <w:rFonts w:cs="Times New Roman"/>
        </w:rPr>
        <w:t xml:space="preserve">provide </w:t>
      </w:r>
      <w:r w:rsidR="008149AE" w:rsidRPr="00B1335B">
        <w:rPr>
          <w:rFonts w:cs="Times New Roman"/>
        </w:rPr>
        <w:t xml:space="preserve">further guidance on the ethics of disclosure. Unlike the </w:t>
      </w:r>
      <w:r w:rsidR="008149AE" w:rsidRPr="00B1335B">
        <w:rPr>
          <w:rFonts w:cs="Times New Roman"/>
          <w:i/>
        </w:rPr>
        <w:t xml:space="preserve">Model Rules, </w:t>
      </w:r>
      <w:r w:rsidR="008149AE" w:rsidRPr="00B1335B">
        <w:rPr>
          <w:rFonts w:cs="Times New Roman"/>
        </w:rPr>
        <w:t xml:space="preserve">the </w:t>
      </w:r>
      <w:r w:rsidR="008149AE" w:rsidRPr="00B1335B">
        <w:rPr>
          <w:rFonts w:cs="Times New Roman"/>
          <w:i/>
        </w:rPr>
        <w:t xml:space="preserve">Ethical Guidelines </w:t>
      </w:r>
      <w:r w:rsidR="00C75BE2" w:rsidRPr="00B1335B">
        <w:rPr>
          <w:rFonts w:cs="Times New Roman"/>
        </w:rPr>
        <w:t>do not</w:t>
      </w:r>
      <w:r w:rsidR="008149AE" w:rsidRPr="00B1335B">
        <w:rPr>
          <w:rFonts w:cs="Times New Roman"/>
        </w:rPr>
        <w:t xml:space="preserve"> serve as a basis for liability, sanctions or disciplinary action, but rather</w:t>
      </w:r>
      <w:r w:rsidR="00C75BE2" w:rsidRPr="00B1335B">
        <w:rPr>
          <w:rFonts w:cs="Times New Roman"/>
        </w:rPr>
        <w:t xml:space="preserve"> are</w:t>
      </w:r>
      <w:r w:rsidR="008149AE" w:rsidRPr="00B1335B">
        <w:rPr>
          <w:rFonts w:cs="Times New Roman"/>
        </w:rPr>
        <w:t xml:space="preserve"> </w:t>
      </w:r>
      <w:r w:rsidR="008149AE" w:rsidRPr="00B1335B">
        <w:rPr>
          <w:rFonts w:cs="Times New Roman"/>
          <w:i/>
        </w:rPr>
        <w:t>“</w:t>
      </w:r>
      <w:r w:rsidR="00C75BE2" w:rsidRPr="00B1335B">
        <w:rPr>
          <w:rFonts w:cs="Times New Roman"/>
          <w:i/>
        </w:rPr>
        <w:t>designed to facilitate and promote</w:t>
      </w:r>
      <w:r w:rsidR="008149AE" w:rsidRPr="00B1335B">
        <w:rPr>
          <w:rFonts w:cs="Times New Roman"/>
          <w:i/>
        </w:rPr>
        <w:t xml:space="preserve"> ethical conduct in settlement negotiations</w:t>
      </w:r>
      <w:r w:rsidR="00891309" w:rsidRPr="00B1335B">
        <w:rPr>
          <w:rFonts w:cs="Times New Roman"/>
          <w:i/>
        </w:rPr>
        <w:t>.”</w:t>
      </w:r>
      <w:r w:rsidR="00C75BE2" w:rsidRPr="00B1335B">
        <w:rPr>
          <w:rStyle w:val="FootnoteReference"/>
          <w:rFonts w:cs="Times New Roman"/>
        </w:rPr>
        <w:footnoteReference w:id="18"/>
      </w:r>
      <w:r w:rsidR="00891309" w:rsidRPr="00B1335B">
        <w:rPr>
          <w:rFonts w:cs="Times New Roman"/>
        </w:rPr>
        <w:t xml:space="preserve"> </w:t>
      </w:r>
      <w:r w:rsidR="00D6603D" w:rsidRPr="00B1335B">
        <w:rPr>
          <w:rFonts w:cs="Times New Roman"/>
        </w:rPr>
        <w:t xml:space="preserve">Consistently with the </w:t>
      </w:r>
      <w:r w:rsidR="00D6603D" w:rsidRPr="00B1335B">
        <w:rPr>
          <w:rFonts w:cs="Times New Roman"/>
          <w:i/>
        </w:rPr>
        <w:t>Model Rules</w:t>
      </w:r>
      <w:r w:rsidR="0029439E" w:rsidRPr="00B1335B">
        <w:rPr>
          <w:rFonts w:cs="Times New Roman"/>
        </w:rPr>
        <w:t>, the Committee Notes to Section 4.3.5 of</w:t>
      </w:r>
      <w:r w:rsidR="00F22698" w:rsidRPr="00B1335B">
        <w:rPr>
          <w:rFonts w:cs="Times New Roman"/>
        </w:rPr>
        <w:t xml:space="preserve"> the </w:t>
      </w:r>
      <w:r w:rsidR="00F22698" w:rsidRPr="00B1335B">
        <w:rPr>
          <w:rFonts w:cs="Times New Roman"/>
          <w:i/>
        </w:rPr>
        <w:t xml:space="preserve">Ethical Guidelines </w:t>
      </w:r>
      <w:r w:rsidR="00F22698" w:rsidRPr="00B1335B">
        <w:rPr>
          <w:rFonts w:cs="Times New Roman"/>
        </w:rPr>
        <w:t xml:space="preserve">state that there is </w:t>
      </w:r>
      <w:r w:rsidR="00F22698" w:rsidRPr="00B1335B">
        <w:rPr>
          <w:rFonts w:cs="Times New Roman"/>
          <w:i/>
        </w:rPr>
        <w:t>“no general ethics obligation, in the</w:t>
      </w:r>
      <w:r w:rsidR="0029439E" w:rsidRPr="00B1335B">
        <w:rPr>
          <w:rFonts w:cs="Times New Roman"/>
          <w:i/>
        </w:rPr>
        <w:t xml:space="preserve"> </w:t>
      </w:r>
      <w:r w:rsidR="00F22698" w:rsidRPr="00B1335B">
        <w:rPr>
          <w:rFonts w:cs="Times New Roman"/>
          <w:i/>
        </w:rPr>
        <w:t>settlement context or elsewhere, to correct the erroneous assumptions of the opposing party or opposing counsel”</w:t>
      </w:r>
      <w:r w:rsidR="00F22698" w:rsidRPr="00B1335B">
        <w:rPr>
          <w:rFonts w:cs="Times New Roman"/>
        </w:rPr>
        <w:t xml:space="preserve">. However, </w:t>
      </w:r>
      <w:r w:rsidR="00F22698" w:rsidRPr="00B1335B">
        <w:rPr>
          <w:rFonts w:cs="Times New Roman"/>
          <w:i/>
        </w:rPr>
        <w:t>“the duty to avoid misrepresentations and misleading conduct implies a professional responsibility to correct mistakes induced by the lawyer or the lawyer’s client and not to exploit such mistakes.”</w:t>
      </w:r>
      <w:r w:rsidR="00F22698" w:rsidRPr="00B1335B">
        <w:rPr>
          <w:rStyle w:val="FootnoteReference"/>
          <w:rFonts w:cs="Times New Roman"/>
          <w:i/>
        </w:rPr>
        <w:footnoteReference w:id="19"/>
      </w:r>
    </w:p>
    <w:p w14:paraId="2FC1B9E2" w14:textId="490E5833" w:rsidR="00D72A4F" w:rsidRPr="00B1335B" w:rsidRDefault="001B0476" w:rsidP="00622140">
      <w:pPr>
        <w:spacing w:line="240" w:lineRule="auto"/>
        <w:ind w:firstLine="454"/>
        <w:jc w:val="both"/>
        <w:rPr>
          <w:rFonts w:cs="Times New Roman"/>
        </w:rPr>
      </w:pPr>
      <w:r w:rsidRPr="00B1335B">
        <w:rPr>
          <w:rFonts w:cs="Times New Roman"/>
        </w:rPr>
        <w:t>The lawyer’s duty to behave honestly</w:t>
      </w:r>
      <w:r w:rsidR="00857B65" w:rsidRPr="00B1335B">
        <w:rPr>
          <w:rFonts w:cs="Times New Roman"/>
        </w:rPr>
        <w:t xml:space="preserve"> during mediation is thus doubly</w:t>
      </w:r>
      <w:r w:rsidRPr="00B1335B">
        <w:rPr>
          <w:rFonts w:cs="Times New Roman"/>
        </w:rPr>
        <w:t xml:space="preserve"> </w:t>
      </w:r>
      <w:r w:rsidR="001F5A80" w:rsidRPr="00B1335B">
        <w:rPr>
          <w:rFonts w:cs="Times New Roman"/>
        </w:rPr>
        <w:t>circumscribed</w:t>
      </w:r>
      <w:r w:rsidRPr="00B1335B">
        <w:rPr>
          <w:rFonts w:cs="Times New Roman"/>
        </w:rPr>
        <w:t xml:space="preserve">. On the one hand, </w:t>
      </w:r>
      <w:r w:rsidR="00A961D9">
        <w:rPr>
          <w:rFonts w:cs="Times New Roman"/>
        </w:rPr>
        <w:t xml:space="preserve">lawyers are </w:t>
      </w:r>
      <w:r w:rsidR="0063778C" w:rsidRPr="00B1335B">
        <w:rPr>
          <w:rFonts w:cs="Times New Roman"/>
        </w:rPr>
        <w:t xml:space="preserve">expressly permitted to make false statements </w:t>
      </w:r>
      <w:r w:rsidR="009B4605" w:rsidRPr="00B1335B">
        <w:rPr>
          <w:rFonts w:cs="Times New Roman"/>
        </w:rPr>
        <w:t>wherever</w:t>
      </w:r>
      <w:r w:rsidR="0063778C" w:rsidRPr="00B1335B">
        <w:rPr>
          <w:rFonts w:cs="Times New Roman"/>
        </w:rPr>
        <w:t xml:space="preserve"> those statements concern facts or law that are not </w:t>
      </w:r>
      <w:r w:rsidR="0063778C" w:rsidRPr="00B1335B">
        <w:rPr>
          <w:rFonts w:cs="Times New Roman"/>
          <w:i/>
        </w:rPr>
        <w:t>“material”</w:t>
      </w:r>
      <w:r w:rsidR="00805C9C" w:rsidRPr="00B1335B">
        <w:rPr>
          <w:rFonts w:cs="Times New Roman"/>
        </w:rPr>
        <w:t>, including</w:t>
      </w:r>
      <w:r w:rsidR="0063778C" w:rsidRPr="00B1335B">
        <w:rPr>
          <w:rFonts w:cs="Times New Roman"/>
        </w:rPr>
        <w:t xml:space="preserve"> statements relating to </w:t>
      </w:r>
      <w:r w:rsidR="009B4605" w:rsidRPr="00B1335B">
        <w:rPr>
          <w:rFonts w:cs="Times New Roman"/>
        </w:rPr>
        <w:t xml:space="preserve">apparently crucial information that is nevertheless deemed to be immaterial because it is information about which </w:t>
      </w:r>
      <w:r w:rsidR="009A25F0" w:rsidRPr="00B1335B">
        <w:rPr>
          <w:rFonts w:cs="Times New Roman"/>
        </w:rPr>
        <w:t xml:space="preserve">lawyers </w:t>
      </w:r>
      <w:r w:rsidR="00805C9C" w:rsidRPr="00B1335B">
        <w:rPr>
          <w:rFonts w:cs="Times New Roman"/>
        </w:rPr>
        <w:t>may lie</w:t>
      </w:r>
      <w:r w:rsidR="009B4605" w:rsidRPr="00B1335B">
        <w:rPr>
          <w:rFonts w:cs="Times New Roman"/>
        </w:rPr>
        <w:t xml:space="preserve"> </w:t>
      </w:r>
      <w:r w:rsidR="0063778C" w:rsidRPr="00B1335B">
        <w:rPr>
          <w:rFonts w:cs="Times New Roman"/>
        </w:rPr>
        <w:t xml:space="preserve">according to </w:t>
      </w:r>
      <w:r w:rsidR="0063778C" w:rsidRPr="00B1335B">
        <w:rPr>
          <w:rFonts w:cs="Times New Roman"/>
          <w:i/>
        </w:rPr>
        <w:t>“generally accepted conventions in negotiation”</w:t>
      </w:r>
      <w:r w:rsidR="00A961D9">
        <w:rPr>
          <w:rFonts w:cs="Times New Roman"/>
        </w:rPr>
        <w:t>. On the other, they are</w:t>
      </w:r>
      <w:r w:rsidR="0063778C" w:rsidRPr="00B1335B">
        <w:rPr>
          <w:rFonts w:cs="Times New Roman"/>
        </w:rPr>
        <w:t xml:space="preserve"> not obliged to make any positive disclosures</w:t>
      </w:r>
      <w:r w:rsidR="009B4605" w:rsidRPr="00B1335B">
        <w:rPr>
          <w:rFonts w:cs="Times New Roman"/>
        </w:rPr>
        <w:t xml:space="preserve"> of </w:t>
      </w:r>
      <w:r w:rsidR="009A25F0" w:rsidRPr="00B1335B">
        <w:rPr>
          <w:rFonts w:cs="Times New Roman"/>
        </w:rPr>
        <w:t xml:space="preserve">law or </w:t>
      </w:r>
      <w:r w:rsidR="009B4605" w:rsidRPr="00B1335B">
        <w:rPr>
          <w:rFonts w:cs="Times New Roman"/>
        </w:rPr>
        <w:t xml:space="preserve">fact – </w:t>
      </w:r>
      <w:r w:rsidR="0063778C" w:rsidRPr="00B1335B">
        <w:rPr>
          <w:rFonts w:cs="Times New Roman"/>
        </w:rPr>
        <w:t>except</w:t>
      </w:r>
      <w:r w:rsidR="009B4605" w:rsidRPr="00B1335B">
        <w:rPr>
          <w:rFonts w:cs="Times New Roman"/>
        </w:rPr>
        <w:t xml:space="preserve"> </w:t>
      </w:r>
      <w:r w:rsidR="0063778C" w:rsidRPr="00B1335B">
        <w:rPr>
          <w:rFonts w:cs="Times New Roman"/>
        </w:rPr>
        <w:t xml:space="preserve">in the unlikely </w:t>
      </w:r>
      <w:r w:rsidR="009A25F0" w:rsidRPr="00B1335B">
        <w:rPr>
          <w:rFonts w:cs="Times New Roman"/>
        </w:rPr>
        <w:t>event</w:t>
      </w:r>
      <w:r w:rsidR="00AE0180" w:rsidRPr="00B1335B">
        <w:rPr>
          <w:rFonts w:cs="Times New Roman"/>
        </w:rPr>
        <w:t xml:space="preserve"> that a </w:t>
      </w:r>
      <w:r w:rsidR="009A25F0" w:rsidRPr="00B1335B">
        <w:rPr>
          <w:rFonts w:cs="Times New Roman"/>
        </w:rPr>
        <w:t>disclosure</w:t>
      </w:r>
      <w:r w:rsidR="00AE0180" w:rsidRPr="00B1335B">
        <w:rPr>
          <w:rFonts w:cs="Times New Roman"/>
        </w:rPr>
        <w:t xml:space="preserve"> of fact (but not </w:t>
      </w:r>
      <w:r w:rsidR="009A25F0" w:rsidRPr="00B1335B">
        <w:rPr>
          <w:rFonts w:cs="Times New Roman"/>
        </w:rPr>
        <w:t xml:space="preserve">law) </w:t>
      </w:r>
      <w:r w:rsidR="0063778C" w:rsidRPr="00B1335B">
        <w:rPr>
          <w:rFonts w:cs="Times New Roman"/>
        </w:rPr>
        <w:t xml:space="preserve">is </w:t>
      </w:r>
      <w:r w:rsidR="0063778C" w:rsidRPr="00B1335B">
        <w:rPr>
          <w:rFonts w:cs="Times New Roman"/>
          <w:i/>
        </w:rPr>
        <w:t>both</w:t>
      </w:r>
      <w:r w:rsidR="0063778C" w:rsidRPr="00B1335B">
        <w:rPr>
          <w:rFonts w:cs="Times New Roman"/>
        </w:rPr>
        <w:t xml:space="preserve"> necessary to prevent a fraudulent or</w:t>
      </w:r>
      <w:r w:rsidR="00A961D9">
        <w:rPr>
          <w:rFonts w:cs="Times New Roman"/>
        </w:rPr>
        <w:t xml:space="preserve"> criminal act by the</w:t>
      </w:r>
      <w:r w:rsidR="0063778C" w:rsidRPr="00B1335B">
        <w:rPr>
          <w:rFonts w:cs="Times New Roman"/>
        </w:rPr>
        <w:t xml:space="preserve"> client </w:t>
      </w:r>
      <w:r w:rsidR="0063778C" w:rsidRPr="00B1335B">
        <w:rPr>
          <w:rFonts w:cs="Times New Roman"/>
          <w:i/>
        </w:rPr>
        <w:t>and</w:t>
      </w:r>
      <w:r w:rsidR="0063778C" w:rsidRPr="00B1335B">
        <w:rPr>
          <w:rFonts w:cs="Times New Roman"/>
        </w:rPr>
        <w:t xml:space="preserve"> </w:t>
      </w:r>
      <w:r w:rsidR="009B4605" w:rsidRPr="00B1335B">
        <w:rPr>
          <w:rFonts w:cs="Times New Roman"/>
        </w:rPr>
        <w:t xml:space="preserve">would not constitute the revealing of </w:t>
      </w:r>
      <w:r w:rsidR="009A25F0" w:rsidRPr="00B1335B">
        <w:rPr>
          <w:rFonts w:cs="Times New Roman"/>
        </w:rPr>
        <w:t>confidential client information</w:t>
      </w:r>
      <w:r w:rsidR="009B4605" w:rsidRPr="00B1335B">
        <w:rPr>
          <w:rFonts w:cs="Times New Roman"/>
        </w:rPr>
        <w:t xml:space="preserve">. </w:t>
      </w:r>
      <w:r w:rsidR="00F87A09">
        <w:rPr>
          <w:rFonts w:cs="Times New Roman"/>
        </w:rPr>
        <w:t>Furthermore, while lawyers</w:t>
      </w:r>
      <w:r w:rsidR="00F22698" w:rsidRPr="00B1335B">
        <w:rPr>
          <w:rFonts w:cs="Times New Roman"/>
        </w:rPr>
        <w:t xml:space="preserve"> may be obliged to correct an erroneous assumption tha</w:t>
      </w:r>
      <w:r w:rsidR="00F87A09">
        <w:rPr>
          <w:rFonts w:cs="Times New Roman"/>
        </w:rPr>
        <w:t>t has been induced by their</w:t>
      </w:r>
      <w:r w:rsidR="00F22698" w:rsidRPr="00B1335B">
        <w:rPr>
          <w:rFonts w:cs="Times New Roman"/>
        </w:rPr>
        <w:t xml:space="preserve"> client’s own misl</w:t>
      </w:r>
      <w:r w:rsidR="00F87A09">
        <w:rPr>
          <w:rFonts w:cs="Times New Roman"/>
        </w:rPr>
        <w:t xml:space="preserve">eading conduct, they </w:t>
      </w:r>
      <w:r w:rsidR="00F87A09">
        <w:rPr>
          <w:rFonts w:cs="Times New Roman"/>
        </w:rPr>
        <w:lastRenderedPageBreak/>
        <w:t>are</w:t>
      </w:r>
      <w:r w:rsidR="00F22698" w:rsidRPr="00B1335B">
        <w:rPr>
          <w:rFonts w:cs="Times New Roman"/>
        </w:rPr>
        <w:t xml:space="preserve"> otherwise under no duty to correct the mistakes of third parties, however arising. </w:t>
      </w:r>
    </w:p>
    <w:p w14:paraId="3604EC91" w14:textId="5D7765D2" w:rsidR="00D72A4F" w:rsidRPr="00B1335B" w:rsidRDefault="00C90C51" w:rsidP="00622140">
      <w:pPr>
        <w:spacing w:line="240" w:lineRule="auto"/>
        <w:ind w:firstLine="454"/>
        <w:jc w:val="both"/>
        <w:rPr>
          <w:rFonts w:cs="Times New Roman"/>
        </w:rPr>
      </w:pPr>
      <w:r w:rsidRPr="00B1335B">
        <w:rPr>
          <w:rFonts w:cs="Times New Roman"/>
        </w:rPr>
        <w:t>The limited character</w:t>
      </w:r>
      <w:r w:rsidR="00D72A4F" w:rsidRPr="00B1335B">
        <w:rPr>
          <w:rFonts w:cs="Times New Roman"/>
        </w:rPr>
        <w:t xml:space="preserve"> of the</w:t>
      </w:r>
      <w:r w:rsidR="0087083D" w:rsidRPr="00B1335B">
        <w:rPr>
          <w:rFonts w:cs="Times New Roman"/>
        </w:rPr>
        <w:t xml:space="preserve">se </w:t>
      </w:r>
      <w:r w:rsidR="00D72A4F" w:rsidRPr="00B1335B">
        <w:rPr>
          <w:rFonts w:cs="Times New Roman"/>
        </w:rPr>
        <w:t xml:space="preserve">constraints </w:t>
      </w:r>
      <w:r w:rsidR="0087083D" w:rsidRPr="00B1335B">
        <w:rPr>
          <w:rFonts w:cs="Times New Roman"/>
        </w:rPr>
        <w:t xml:space="preserve">raises </w:t>
      </w:r>
      <w:r w:rsidR="00D72A4F" w:rsidRPr="00B1335B">
        <w:rPr>
          <w:rFonts w:cs="Times New Roman"/>
        </w:rPr>
        <w:t xml:space="preserve">important </w:t>
      </w:r>
      <w:r w:rsidR="0087083D" w:rsidRPr="00B1335B">
        <w:rPr>
          <w:rFonts w:cs="Times New Roman"/>
        </w:rPr>
        <w:t>questions concerning</w:t>
      </w:r>
      <w:r w:rsidRPr="00B1335B">
        <w:rPr>
          <w:rFonts w:cs="Times New Roman"/>
        </w:rPr>
        <w:t xml:space="preserve"> both the nature and purpose</w:t>
      </w:r>
      <w:r w:rsidR="0087083D" w:rsidRPr="00B1335B">
        <w:rPr>
          <w:rFonts w:cs="Times New Roman"/>
        </w:rPr>
        <w:t xml:space="preserve"> </w:t>
      </w:r>
      <w:r w:rsidRPr="00B1335B">
        <w:rPr>
          <w:rFonts w:cs="Times New Roman"/>
        </w:rPr>
        <w:t>of m</w:t>
      </w:r>
      <w:r w:rsidR="007613B4" w:rsidRPr="00B1335B">
        <w:rPr>
          <w:rFonts w:cs="Times New Roman"/>
        </w:rPr>
        <w:t>ediation, and the rationale for</w:t>
      </w:r>
      <w:r w:rsidRPr="00B1335B">
        <w:rPr>
          <w:rFonts w:cs="Times New Roman"/>
        </w:rPr>
        <w:t xml:space="preserve"> ethical standards in</w:t>
      </w:r>
      <w:r w:rsidR="00F30AE5" w:rsidRPr="00B1335B">
        <w:rPr>
          <w:rFonts w:cs="Times New Roman"/>
        </w:rPr>
        <w:t xml:space="preserve"> </w:t>
      </w:r>
      <w:r w:rsidR="0087083D" w:rsidRPr="00B1335B">
        <w:rPr>
          <w:rFonts w:cs="Times New Roman"/>
        </w:rPr>
        <w:t>legal practice. Are the goals of mediation different from other forms of dispute resolution and, if so, does that justify the adoption of less</w:t>
      </w:r>
      <w:r w:rsidR="00F30AE5" w:rsidRPr="00B1335B">
        <w:rPr>
          <w:rFonts w:cs="Times New Roman"/>
        </w:rPr>
        <w:t xml:space="preserve"> rigorous professional obligations</w:t>
      </w:r>
      <w:r w:rsidR="0087083D" w:rsidRPr="00B1335B">
        <w:rPr>
          <w:rFonts w:cs="Times New Roman"/>
        </w:rPr>
        <w:t>? Do the current standards strike the right balance between the lawyer’s duties as a representative of clients and an officer of the legal syste</w:t>
      </w:r>
      <w:r w:rsidR="00370C39" w:rsidRPr="00B1335B">
        <w:rPr>
          <w:rFonts w:cs="Times New Roman"/>
        </w:rPr>
        <w:t>m? Do lawyers have sufficient guidance to successfully navigate the ethical dilemmas of mediation</w:t>
      </w:r>
      <w:r w:rsidR="007613B4" w:rsidRPr="00B1335B">
        <w:rPr>
          <w:rFonts w:cs="Times New Roman"/>
        </w:rPr>
        <w:t xml:space="preserve">, and maintain the integrity of the </w:t>
      </w:r>
      <w:r w:rsidR="0039487A" w:rsidRPr="00B1335B">
        <w:rPr>
          <w:rFonts w:cs="Times New Roman"/>
        </w:rPr>
        <w:t xml:space="preserve">legal </w:t>
      </w:r>
      <w:r w:rsidR="007613B4" w:rsidRPr="00B1335B">
        <w:rPr>
          <w:rFonts w:cs="Times New Roman"/>
        </w:rPr>
        <w:t>profession</w:t>
      </w:r>
      <w:r w:rsidR="0039487A" w:rsidRPr="00B1335B">
        <w:rPr>
          <w:rFonts w:cs="Times New Roman"/>
        </w:rPr>
        <w:t xml:space="preserve"> and the administration of justice</w:t>
      </w:r>
      <w:r w:rsidR="00370C39" w:rsidRPr="00B1335B">
        <w:rPr>
          <w:rFonts w:cs="Times New Roman"/>
        </w:rPr>
        <w:t xml:space="preserve">? This paper now turns to address these questions, with a view to assessing the extent to which the exceptions and limitations described above </w:t>
      </w:r>
      <w:r w:rsidR="0039487A" w:rsidRPr="00B1335B">
        <w:rPr>
          <w:rFonts w:cs="Times New Roman"/>
        </w:rPr>
        <w:t xml:space="preserve">are warranted in the context of mediation. </w:t>
      </w:r>
    </w:p>
    <w:p w14:paraId="783BA939" w14:textId="346B8E5F" w:rsidR="00370C39" w:rsidRPr="00B1335B" w:rsidRDefault="00370C39" w:rsidP="000926E0">
      <w:pPr>
        <w:pStyle w:val="Heading1"/>
        <w:spacing w:line="240" w:lineRule="auto"/>
        <w:rPr>
          <w:rFonts w:cs="Times New Roman"/>
        </w:rPr>
      </w:pPr>
      <w:r w:rsidRPr="00B1335B">
        <w:rPr>
          <w:rFonts w:cs="Times New Roman"/>
        </w:rPr>
        <w:t>Ramifications of</w:t>
      </w:r>
      <w:r w:rsidR="003554D9" w:rsidRPr="00B1335B">
        <w:rPr>
          <w:rFonts w:cs="Times New Roman"/>
        </w:rPr>
        <w:t xml:space="preserve"> the Current Approach</w:t>
      </w:r>
      <w:r w:rsidR="000926E0">
        <w:rPr>
          <w:rFonts w:cs="Times New Roman"/>
        </w:rPr>
        <w:br/>
      </w:r>
    </w:p>
    <w:p w14:paraId="50DA9D1E" w14:textId="578D8BDF" w:rsidR="003554D9" w:rsidRPr="00B1335B" w:rsidRDefault="00B76B32" w:rsidP="00622140">
      <w:pPr>
        <w:spacing w:line="240" w:lineRule="auto"/>
        <w:ind w:firstLine="454"/>
        <w:jc w:val="both"/>
        <w:rPr>
          <w:rFonts w:cs="Times New Roman"/>
        </w:rPr>
      </w:pPr>
      <w:r w:rsidRPr="00B1335B">
        <w:rPr>
          <w:rFonts w:cs="Times New Roman"/>
        </w:rPr>
        <w:t>There are</w:t>
      </w:r>
      <w:r w:rsidR="00C967BA" w:rsidRPr="00B1335B">
        <w:rPr>
          <w:rFonts w:cs="Times New Roman"/>
        </w:rPr>
        <w:t xml:space="preserve"> two princ</w:t>
      </w:r>
      <w:r w:rsidRPr="00B1335B">
        <w:rPr>
          <w:rFonts w:cs="Times New Roman"/>
        </w:rPr>
        <w:t>ipal problems with the current rules governing</w:t>
      </w:r>
      <w:r w:rsidR="00C967BA" w:rsidRPr="00B1335B">
        <w:rPr>
          <w:rFonts w:cs="Times New Roman"/>
        </w:rPr>
        <w:t xml:space="preserve"> lawyer's misleading statements and omissions during mediation. First, as I have described above, th</w:t>
      </w:r>
      <w:r w:rsidR="007613B4" w:rsidRPr="00B1335B">
        <w:rPr>
          <w:rFonts w:cs="Times New Roman"/>
        </w:rPr>
        <w:t>ey are extremely limited</w:t>
      </w:r>
      <w:r w:rsidRPr="00B1335B">
        <w:rPr>
          <w:rFonts w:cs="Times New Roman"/>
        </w:rPr>
        <w:t xml:space="preserve">, </w:t>
      </w:r>
      <w:r w:rsidR="002A6644">
        <w:rPr>
          <w:rFonts w:cs="Times New Roman"/>
        </w:rPr>
        <w:t>so</w:t>
      </w:r>
      <w:r w:rsidR="00C967BA" w:rsidRPr="00B1335B">
        <w:rPr>
          <w:rFonts w:cs="Times New Roman"/>
        </w:rPr>
        <w:t xml:space="preserve"> that lawyers</w:t>
      </w:r>
      <w:r w:rsidRPr="00B1335B">
        <w:rPr>
          <w:rFonts w:cs="Times New Roman"/>
        </w:rPr>
        <w:t xml:space="preserve"> are often permitted to engage </w:t>
      </w:r>
      <w:r w:rsidR="00C967BA" w:rsidRPr="00B1335B">
        <w:rPr>
          <w:rFonts w:cs="Times New Roman"/>
        </w:rPr>
        <w:t>in behavior</w:t>
      </w:r>
      <w:r w:rsidRPr="00B1335B">
        <w:rPr>
          <w:rFonts w:cs="Times New Roman"/>
        </w:rPr>
        <w:t xml:space="preserve"> during mediation which</w:t>
      </w:r>
      <w:r w:rsidR="00C967BA" w:rsidRPr="00B1335B">
        <w:rPr>
          <w:rFonts w:cs="Times New Roman"/>
        </w:rPr>
        <w:t xml:space="preserve"> is both morally </w:t>
      </w:r>
      <w:r w:rsidR="00922EC1" w:rsidRPr="00B1335B">
        <w:rPr>
          <w:rFonts w:cs="Times New Roman"/>
        </w:rPr>
        <w:t>dubious</w:t>
      </w:r>
      <w:r w:rsidR="00C967BA" w:rsidRPr="00B1335B">
        <w:rPr>
          <w:rFonts w:cs="Times New Roman"/>
        </w:rPr>
        <w:t xml:space="preserve"> and </w:t>
      </w:r>
      <w:r w:rsidR="005C3E08" w:rsidRPr="00B1335B">
        <w:rPr>
          <w:rFonts w:cs="Times New Roman"/>
        </w:rPr>
        <w:t xml:space="preserve">potentially </w:t>
      </w:r>
      <w:r w:rsidR="00C967BA" w:rsidRPr="00B1335B">
        <w:rPr>
          <w:rFonts w:cs="Times New Roman"/>
        </w:rPr>
        <w:t xml:space="preserve">productive of serious injustice. Second, </w:t>
      </w:r>
      <w:r w:rsidR="00D130D0" w:rsidRPr="00B1335B">
        <w:rPr>
          <w:rFonts w:cs="Times New Roman"/>
        </w:rPr>
        <w:t>the shifting and imprecise lin</w:t>
      </w:r>
      <w:r w:rsidR="00634BD4" w:rsidRPr="00B1335B">
        <w:rPr>
          <w:rFonts w:cs="Times New Roman"/>
        </w:rPr>
        <w:t xml:space="preserve">e between mere omissions and </w:t>
      </w:r>
      <w:r w:rsidR="00D130D0" w:rsidRPr="00B1335B">
        <w:rPr>
          <w:rFonts w:cs="Times New Roman"/>
        </w:rPr>
        <w:t>misrepr</w:t>
      </w:r>
      <w:r w:rsidR="00645FE2" w:rsidRPr="00B1335B">
        <w:rPr>
          <w:rFonts w:cs="Times New Roman"/>
        </w:rPr>
        <w:t xml:space="preserve">esentations means that lawyers have no clear guidance as to whether, when and to what extent </w:t>
      </w:r>
      <w:r w:rsidRPr="00B1335B">
        <w:rPr>
          <w:rFonts w:cs="Times New Roman"/>
        </w:rPr>
        <w:t xml:space="preserve">they must disclose information.  </w:t>
      </w:r>
    </w:p>
    <w:p w14:paraId="09E38851" w14:textId="1407DE1B" w:rsidR="00B76B32" w:rsidRPr="00B1335B" w:rsidRDefault="003D2AA7" w:rsidP="00622140">
      <w:pPr>
        <w:pStyle w:val="Heading2"/>
        <w:spacing w:line="240" w:lineRule="auto"/>
        <w:jc w:val="both"/>
        <w:rPr>
          <w:rFonts w:cs="Times New Roman"/>
        </w:rPr>
      </w:pPr>
      <w:r w:rsidRPr="00B1335B">
        <w:rPr>
          <w:rFonts w:cs="Times New Roman"/>
        </w:rPr>
        <w:t xml:space="preserve">Moral ambiguity and injustice </w:t>
      </w:r>
    </w:p>
    <w:p w14:paraId="0079D086" w14:textId="22338DAA" w:rsidR="00645FE2" w:rsidRDefault="00B76B32" w:rsidP="00622140">
      <w:pPr>
        <w:spacing w:after="0" w:line="240" w:lineRule="auto"/>
        <w:ind w:firstLine="454"/>
        <w:jc w:val="both"/>
        <w:rPr>
          <w:rFonts w:cs="Times New Roman"/>
        </w:rPr>
      </w:pPr>
      <w:r w:rsidRPr="00B1335B">
        <w:rPr>
          <w:rFonts w:cs="Times New Roman"/>
        </w:rPr>
        <w:t>O</w:t>
      </w:r>
      <w:r w:rsidR="00BE6947" w:rsidRPr="00B1335B">
        <w:rPr>
          <w:rFonts w:cs="Times New Roman"/>
        </w:rPr>
        <w:t>ne of the clearest demonstrations</w:t>
      </w:r>
      <w:r w:rsidRPr="00B1335B">
        <w:rPr>
          <w:rFonts w:cs="Times New Roman"/>
        </w:rPr>
        <w:t xml:space="preserve"> of the moral ambiguity </w:t>
      </w:r>
      <w:r w:rsidR="009759E3" w:rsidRPr="00B1335B">
        <w:rPr>
          <w:rFonts w:cs="Times New Roman"/>
        </w:rPr>
        <w:t xml:space="preserve">surrounding obligations of honesty in mediation is the </w:t>
      </w:r>
      <w:r w:rsidR="00645FE2" w:rsidRPr="00B1335B">
        <w:rPr>
          <w:rFonts w:cs="Times New Roman"/>
        </w:rPr>
        <w:t xml:space="preserve">now infamous case of </w:t>
      </w:r>
      <w:r w:rsidR="00645FE2" w:rsidRPr="00B1335B">
        <w:rPr>
          <w:rFonts w:cs="Times New Roman"/>
          <w:i/>
        </w:rPr>
        <w:t>Spaulding</w:t>
      </w:r>
      <w:r w:rsidR="007422F4">
        <w:rPr>
          <w:rFonts w:cs="Times New Roman"/>
          <w:i/>
        </w:rPr>
        <w:t xml:space="preserve"> v. </w:t>
      </w:r>
      <w:r w:rsidR="00645FE2" w:rsidRPr="00B1335B">
        <w:rPr>
          <w:rFonts w:cs="Times New Roman"/>
          <w:i/>
        </w:rPr>
        <w:t>Zimmerman</w:t>
      </w:r>
      <w:r w:rsidR="00645FE2" w:rsidRPr="00B1335B">
        <w:rPr>
          <w:rFonts w:cs="Times New Roman"/>
        </w:rPr>
        <w:t>,</w:t>
      </w:r>
      <w:r w:rsidR="00645FE2" w:rsidRPr="00B1335B">
        <w:rPr>
          <w:rStyle w:val="FootnoteReference"/>
          <w:rFonts w:cs="Times New Roman"/>
        </w:rPr>
        <w:footnoteReference w:id="20"/>
      </w:r>
      <w:r w:rsidRPr="00B1335B">
        <w:rPr>
          <w:rFonts w:cs="Times New Roman"/>
        </w:rPr>
        <w:t xml:space="preserve"> in which</w:t>
      </w:r>
      <w:r w:rsidR="00645FE2" w:rsidRPr="00B1335B">
        <w:rPr>
          <w:rFonts w:cs="Times New Roman"/>
        </w:rPr>
        <w:t xml:space="preserve"> lawyers for the defendant deliberately withheld from</w:t>
      </w:r>
      <w:r w:rsidR="00922EC1" w:rsidRPr="00B1335B">
        <w:rPr>
          <w:rFonts w:cs="Times New Roman"/>
        </w:rPr>
        <w:t xml:space="preserve"> the plaintiff</w:t>
      </w:r>
      <w:r w:rsidR="00645FE2" w:rsidRPr="00B1335B">
        <w:rPr>
          <w:rFonts w:cs="Times New Roman"/>
        </w:rPr>
        <w:t xml:space="preserve"> the fact that he was suffering from an aorta aneurism. The lawyers were fully aware of the potentially catastrophic ramifications of withholding such information. Their own medical expert </w:t>
      </w:r>
      <w:r w:rsidR="00A961D9">
        <w:rPr>
          <w:rFonts w:cs="Times New Roman"/>
        </w:rPr>
        <w:t>had written to them stating</w:t>
      </w:r>
      <w:r w:rsidR="00645FE2" w:rsidRPr="00B1335B">
        <w:rPr>
          <w:rFonts w:cs="Times New Roman"/>
        </w:rPr>
        <w:t>:</w:t>
      </w:r>
      <w:r w:rsidR="00645FE2" w:rsidRPr="00B1335B">
        <w:rPr>
          <w:rStyle w:val="FootnoteReference"/>
          <w:rFonts w:cs="Times New Roman"/>
        </w:rPr>
        <w:footnoteReference w:id="21"/>
      </w:r>
    </w:p>
    <w:p w14:paraId="66F19904" w14:textId="77777777" w:rsidR="002F763D" w:rsidRPr="00B1335B" w:rsidRDefault="002F763D" w:rsidP="00622140">
      <w:pPr>
        <w:spacing w:after="0" w:line="240" w:lineRule="auto"/>
        <w:ind w:firstLine="454"/>
        <w:jc w:val="both"/>
        <w:rPr>
          <w:rFonts w:cs="Times New Roman"/>
        </w:rPr>
      </w:pPr>
    </w:p>
    <w:p w14:paraId="5C4153A9" w14:textId="77777777" w:rsidR="00645FE2" w:rsidRPr="00B1335B" w:rsidRDefault="00645FE2" w:rsidP="00622140">
      <w:pPr>
        <w:pStyle w:val="Quote"/>
        <w:jc w:val="both"/>
        <w:rPr>
          <w:rFonts w:cs="Times New Roman"/>
        </w:rPr>
      </w:pPr>
      <w:r w:rsidRPr="00B1335B">
        <w:rPr>
          <w:rFonts w:cs="Times New Roman"/>
        </w:rPr>
        <w:t>The one feature of the case which bothers me more than any other part of the case is the fact that this boy of 20 years of age has an aneurysm…  Of course an aneurysm or dilatation of the aorta in a boy of this age is a serious matter as far as his life. This aneurysm may dilate further and it might rupture with further dilatation and this would cause his death.</w:t>
      </w:r>
    </w:p>
    <w:p w14:paraId="388F864E" w14:textId="236EE16E" w:rsidR="00645FE2" w:rsidRPr="00B1335B" w:rsidRDefault="005C3E08" w:rsidP="00622140">
      <w:pPr>
        <w:spacing w:line="240" w:lineRule="auto"/>
        <w:ind w:firstLine="454"/>
        <w:jc w:val="both"/>
        <w:rPr>
          <w:rFonts w:cs="Times New Roman"/>
        </w:rPr>
      </w:pPr>
      <w:r w:rsidRPr="00B1335B">
        <w:rPr>
          <w:rFonts w:cs="Times New Roman"/>
        </w:rPr>
        <w:t>Nevertheless, the lawyers</w:t>
      </w:r>
      <w:r w:rsidR="00645FE2" w:rsidRPr="00B1335B">
        <w:rPr>
          <w:rFonts w:cs="Times New Roman"/>
        </w:rPr>
        <w:t xml:space="preserve"> elected not to disclose the plaintiff’s true medical condition in order to obtain a more advantageous settlement. Ultimately, that settlement was vacated on the basis that the defendant’s counsel had failed in his duty of candor to the court (court approval being required because the plaintiff was a minor). However, th</w:t>
      </w:r>
      <w:r w:rsidR="00540489" w:rsidRPr="00B1335B">
        <w:rPr>
          <w:rFonts w:cs="Times New Roman"/>
        </w:rPr>
        <w:t>e</w:t>
      </w:r>
      <w:r w:rsidR="00A961D9">
        <w:rPr>
          <w:rFonts w:cs="Times New Roman"/>
        </w:rPr>
        <w:t xml:space="preserve"> Minnesota Supreme Court was</w:t>
      </w:r>
      <w:r w:rsidR="00540489" w:rsidRPr="00B1335B">
        <w:rPr>
          <w:rFonts w:cs="Times New Roman"/>
        </w:rPr>
        <w:t xml:space="preserve"> unequivocal in concluding</w:t>
      </w:r>
      <w:r w:rsidR="00922EC1" w:rsidRPr="00B1335B">
        <w:rPr>
          <w:rFonts w:cs="Times New Roman"/>
        </w:rPr>
        <w:t xml:space="preserve"> that no such duty of candor</w:t>
      </w:r>
      <w:r w:rsidR="00645FE2" w:rsidRPr="00B1335B">
        <w:rPr>
          <w:rFonts w:cs="Times New Roman"/>
        </w:rPr>
        <w:t xml:space="preserve"> existed during the course of the negotiations.</w:t>
      </w:r>
      <w:r w:rsidR="00645FE2" w:rsidRPr="00B1335B">
        <w:rPr>
          <w:rStyle w:val="FootnoteReference"/>
          <w:rFonts w:cs="Times New Roman"/>
        </w:rPr>
        <w:footnoteReference w:id="22"/>
      </w:r>
      <w:r w:rsidR="00645FE2" w:rsidRPr="00B1335B">
        <w:rPr>
          <w:rFonts w:cs="Times New Roman"/>
        </w:rPr>
        <w:t xml:space="preserve"> </w:t>
      </w:r>
    </w:p>
    <w:p w14:paraId="618655A5" w14:textId="753FADB4" w:rsidR="00FE2904" w:rsidRPr="00B1335B" w:rsidRDefault="00540489" w:rsidP="00622140">
      <w:pPr>
        <w:spacing w:line="240" w:lineRule="auto"/>
        <w:ind w:firstLine="454"/>
        <w:jc w:val="both"/>
        <w:rPr>
          <w:rFonts w:cs="Times New Roman"/>
        </w:rPr>
      </w:pPr>
      <w:r w:rsidRPr="00B1335B">
        <w:rPr>
          <w:rFonts w:cs="Times New Roman"/>
        </w:rPr>
        <w:t>From an ethical perspective, t</w:t>
      </w:r>
      <w:r w:rsidR="00FE2904" w:rsidRPr="00B1335B">
        <w:rPr>
          <w:rFonts w:cs="Times New Roman"/>
        </w:rPr>
        <w:t>he facts of</w:t>
      </w:r>
      <w:r w:rsidRPr="00B1335B">
        <w:rPr>
          <w:rFonts w:cs="Times New Roman"/>
        </w:rPr>
        <w:t xml:space="preserve"> </w:t>
      </w:r>
      <w:r w:rsidRPr="00B1335B">
        <w:rPr>
          <w:rFonts w:cs="Times New Roman"/>
          <w:i/>
        </w:rPr>
        <w:t xml:space="preserve">Spaulding </w:t>
      </w:r>
      <w:r w:rsidR="00FE2904" w:rsidRPr="00B1335B">
        <w:rPr>
          <w:rFonts w:cs="Times New Roman"/>
        </w:rPr>
        <w:t xml:space="preserve">are </w:t>
      </w:r>
      <w:r w:rsidRPr="00B1335B">
        <w:rPr>
          <w:rFonts w:cs="Times New Roman"/>
        </w:rPr>
        <w:t xml:space="preserve">undoubtedly </w:t>
      </w:r>
      <w:r w:rsidR="00DE4F5D" w:rsidRPr="00B1335B">
        <w:rPr>
          <w:rFonts w:cs="Times New Roman"/>
        </w:rPr>
        <w:t>problema</w:t>
      </w:r>
      <w:r w:rsidR="00797EA1" w:rsidRPr="00B1335B">
        <w:rPr>
          <w:rFonts w:cs="Times New Roman"/>
        </w:rPr>
        <w:t>tic</w:t>
      </w:r>
      <w:r w:rsidRPr="00B1335B">
        <w:rPr>
          <w:rFonts w:cs="Times New Roman"/>
        </w:rPr>
        <w:t>.</w:t>
      </w:r>
      <w:r w:rsidR="00FE2904" w:rsidRPr="00B1335B">
        <w:rPr>
          <w:rFonts w:cs="Times New Roman"/>
          <w:i/>
        </w:rPr>
        <w:t xml:space="preserve"> </w:t>
      </w:r>
      <w:r w:rsidR="00FE2904" w:rsidRPr="00B1335B">
        <w:rPr>
          <w:rFonts w:cs="Times New Roman"/>
        </w:rPr>
        <w:t>On the one hand, the defendant’s lawyers clearly had a professional duty to maintain the confidentiality of their client’s information, particularly in circumstances wher</w:t>
      </w:r>
      <w:r w:rsidR="00B1335B">
        <w:rPr>
          <w:rFonts w:cs="Times New Roman"/>
        </w:rPr>
        <w:t xml:space="preserve">e disclosure </w:t>
      </w:r>
      <w:r w:rsidR="00FE2904" w:rsidRPr="00B1335B">
        <w:rPr>
          <w:rFonts w:cs="Times New Roman"/>
        </w:rPr>
        <w:t xml:space="preserve">would </w:t>
      </w:r>
      <w:r w:rsidR="007613B4" w:rsidRPr="00B1335B">
        <w:rPr>
          <w:rFonts w:cs="Times New Roman"/>
        </w:rPr>
        <w:t xml:space="preserve">have been counter to </w:t>
      </w:r>
      <w:r w:rsidR="00D81332" w:rsidRPr="00B1335B">
        <w:rPr>
          <w:rFonts w:cs="Times New Roman"/>
        </w:rPr>
        <w:t xml:space="preserve">the zealous promotion of </w:t>
      </w:r>
      <w:r w:rsidR="00FE2904" w:rsidRPr="00B1335B">
        <w:rPr>
          <w:rFonts w:cs="Times New Roman"/>
        </w:rPr>
        <w:t xml:space="preserve">their client’s interests. Yet, on the other, </w:t>
      </w:r>
      <w:r w:rsidR="00661454" w:rsidRPr="00B1335B">
        <w:rPr>
          <w:rFonts w:cs="Times New Roman"/>
        </w:rPr>
        <w:t>concealing the true s</w:t>
      </w:r>
      <w:r w:rsidR="007613B4" w:rsidRPr="00B1335B">
        <w:rPr>
          <w:rFonts w:cs="Times New Roman"/>
        </w:rPr>
        <w:t xml:space="preserve">tate of the plaintiff’s </w:t>
      </w:r>
      <w:r w:rsidR="00661454" w:rsidRPr="00B1335B">
        <w:rPr>
          <w:rFonts w:cs="Times New Roman"/>
        </w:rPr>
        <w:t>condition may well have resulted in his death, and a</w:t>
      </w:r>
      <w:r w:rsidR="00FE2904" w:rsidRPr="00B1335B">
        <w:rPr>
          <w:rFonts w:cs="Times New Roman"/>
        </w:rPr>
        <w:t xml:space="preserve">t the very least meant that </w:t>
      </w:r>
      <w:r w:rsidR="00661454" w:rsidRPr="00B1335B">
        <w:rPr>
          <w:rFonts w:cs="Times New Roman"/>
        </w:rPr>
        <w:t>he</w:t>
      </w:r>
      <w:r w:rsidR="00FE2904" w:rsidRPr="00B1335B">
        <w:rPr>
          <w:rFonts w:cs="Times New Roman"/>
        </w:rPr>
        <w:t xml:space="preserve"> was denied the opportunity to seek compensation for the full extent of </w:t>
      </w:r>
      <w:r w:rsidR="00B1335B">
        <w:rPr>
          <w:rFonts w:cs="Times New Roman"/>
        </w:rPr>
        <w:t>his injuries. The situation was</w:t>
      </w:r>
      <w:r w:rsidR="00661454" w:rsidRPr="00B1335B">
        <w:rPr>
          <w:rFonts w:cs="Times New Roman"/>
        </w:rPr>
        <w:t xml:space="preserve"> </w:t>
      </w:r>
      <w:r w:rsidR="00FE2904" w:rsidRPr="00B1335B">
        <w:rPr>
          <w:rFonts w:cs="Times New Roman"/>
        </w:rPr>
        <w:t xml:space="preserve">further compounded by the fact that the plaintiff’s lawyer </w:t>
      </w:r>
      <w:r w:rsidR="00B1335B">
        <w:rPr>
          <w:rFonts w:cs="Times New Roman"/>
        </w:rPr>
        <w:t>inexplicably failed to request</w:t>
      </w:r>
      <w:r w:rsidR="00661454" w:rsidRPr="00B1335B">
        <w:rPr>
          <w:rFonts w:cs="Times New Roman"/>
        </w:rPr>
        <w:t xml:space="preserve"> </w:t>
      </w:r>
      <w:r w:rsidR="00FE2904" w:rsidRPr="00B1335B">
        <w:rPr>
          <w:rFonts w:cs="Times New Roman"/>
        </w:rPr>
        <w:t>a copy of</w:t>
      </w:r>
      <w:r w:rsidR="00C57D98" w:rsidRPr="00B1335B">
        <w:rPr>
          <w:rFonts w:cs="Times New Roman"/>
        </w:rPr>
        <w:t xml:space="preserve"> the defendant’s medical report, so that any sa</w:t>
      </w:r>
      <w:r w:rsidR="00B1335B">
        <w:rPr>
          <w:rFonts w:cs="Times New Roman"/>
        </w:rPr>
        <w:t xml:space="preserve">nction of the defendant’s lawyer </w:t>
      </w:r>
      <w:r w:rsidR="00C57D98" w:rsidRPr="00B1335B">
        <w:rPr>
          <w:rFonts w:cs="Times New Roman"/>
        </w:rPr>
        <w:t>wo</w:t>
      </w:r>
      <w:r w:rsidR="00B1335B">
        <w:rPr>
          <w:rFonts w:cs="Times New Roman"/>
        </w:rPr>
        <w:t xml:space="preserve">uld </w:t>
      </w:r>
      <w:r w:rsidR="00D81332" w:rsidRPr="00B1335B">
        <w:rPr>
          <w:rFonts w:cs="Times New Roman"/>
        </w:rPr>
        <w:t>have amounted to</w:t>
      </w:r>
      <w:r w:rsidR="00C57D98" w:rsidRPr="00B1335B">
        <w:rPr>
          <w:rFonts w:cs="Times New Roman"/>
        </w:rPr>
        <w:t xml:space="preserve"> punishment</w:t>
      </w:r>
      <w:r w:rsidR="00D81332" w:rsidRPr="00B1335B">
        <w:rPr>
          <w:rFonts w:cs="Times New Roman"/>
        </w:rPr>
        <w:t xml:space="preserve"> for failure</w:t>
      </w:r>
      <w:r w:rsidR="007613B4" w:rsidRPr="00B1335B">
        <w:rPr>
          <w:rFonts w:cs="Times New Roman"/>
        </w:rPr>
        <w:t xml:space="preserve"> to correct the mistakes</w:t>
      </w:r>
      <w:r w:rsidR="00D81332" w:rsidRPr="00B1335B">
        <w:rPr>
          <w:rFonts w:cs="Times New Roman"/>
        </w:rPr>
        <w:t xml:space="preserve"> of</w:t>
      </w:r>
      <w:r w:rsidR="00C57D98" w:rsidRPr="00B1335B">
        <w:rPr>
          <w:rFonts w:cs="Times New Roman"/>
        </w:rPr>
        <w:t xml:space="preserve"> opposing counsel. </w:t>
      </w:r>
    </w:p>
    <w:p w14:paraId="115D491A" w14:textId="538D1132" w:rsidR="00E53BA2" w:rsidRPr="00B1335B" w:rsidRDefault="00C57D98" w:rsidP="00622140">
      <w:pPr>
        <w:spacing w:line="240" w:lineRule="auto"/>
        <w:ind w:firstLine="454"/>
        <w:jc w:val="both"/>
        <w:rPr>
          <w:rFonts w:cs="Times New Roman"/>
        </w:rPr>
      </w:pPr>
      <w:r w:rsidRPr="00B1335B">
        <w:rPr>
          <w:rFonts w:cs="Times New Roman"/>
        </w:rPr>
        <w:t>Giv</w:t>
      </w:r>
      <w:r w:rsidR="00D81332" w:rsidRPr="00B1335B">
        <w:rPr>
          <w:rFonts w:cs="Times New Roman"/>
        </w:rPr>
        <w:t>en this</w:t>
      </w:r>
      <w:r w:rsidRPr="00B1335B">
        <w:rPr>
          <w:rFonts w:cs="Times New Roman"/>
        </w:rPr>
        <w:t xml:space="preserve">, it is not surprising that </w:t>
      </w:r>
      <w:r w:rsidRPr="00B1335B">
        <w:rPr>
          <w:rFonts w:cs="Times New Roman"/>
          <w:i/>
        </w:rPr>
        <w:t xml:space="preserve">Spaulding </w:t>
      </w:r>
      <w:r w:rsidRPr="00B1335B">
        <w:rPr>
          <w:rFonts w:cs="Times New Roman"/>
        </w:rPr>
        <w:t xml:space="preserve">has divided commentators. </w:t>
      </w:r>
      <w:r w:rsidR="00076628" w:rsidRPr="00B1335B">
        <w:rPr>
          <w:rFonts w:cs="Times New Roman"/>
        </w:rPr>
        <w:t xml:space="preserve">While </w:t>
      </w:r>
      <w:r w:rsidR="007417B4" w:rsidRPr="00B1335B">
        <w:rPr>
          <w:rFonts w:cs="Times New Roman"/>
        </w:rPr>
        <w:t>at least one critic has argued</w:t>
      </w:r>
      <w:r w:rsidR="00BC06F6" w:rsidRPr="00B1335B">
        <w:rPr>
          <w:rFonts w:cs="Times New Roman"/>
        </w:rPr>
        <w:t xml:space="preserve"> that the </w:t>
      </w:r>
      <w:r w:rsidR="00BC06F6" w:rsidRPr="00B1335B">
        <w:rPr>
          <w:rFonts w:cs="Times New Roman"/>
          <w:i/>
        </w:rPr>
        <w:t xml:space="preserve">Spaulding </w:t>
      </w:r>
      <w:r w:rsidR="00BC06F6" w:rsidRPr="00B1335B">
        <w:rPr>
          <w:rFonts w:cs="Times New Roman"/>
        </w:rPr>
        <w:t>court should h</w:t>
      </w:r>
      <w:r w:rsidR="00B4607A" w:rsidRPr="00B1335B">
        <w:rPr>
          <w:rFonts w:cs="Times New Roman"/>
        </w:rPr>
        <w:t>ave recognized an ethical duty of good faith and fair dealing</w:t>
      </w:r>
      <w:r w:rsidR="007613B4" w:rsidRPr="00B1335B">
        <w:rPr>
          <w:rFonts w:cs="Times New Roman"/>
        </w:rPr>
        <w:t xml:space="preserve"> in negotiation</w:t>
      </w:r>
      <w:r w:rsidR="00B4607A" w:rsidRPr="00B1335B">
        <w:rPr>
          <w:rFonts w:cs="Times New Roman"/>
        </w:rPr>
        <w:t>,</w:t>
      </w:r>
      <w:r w:rsidR="00BC06F6" w:rsidRPr="00B1335B">
        <w:rPr>
          <w:rStyle w:val="FootnoteReference"/>
          <w:rFonts w:cs="Times New Roman"/>
        </w:rPr>
        <w:footnoteReference w:id="23"/>
      </w:r>
      <w:r w:rsidR="00B4607A" w:rsidRPr="00B1335B">
        <w:rPr>
          <w:rFonts w:cs="Times New Roman"/>
        </w:rPr>
        <w:t xml:space="preserve"> </w:t>
      </w:r>
      <w:r w:rsidR="00BC06F6" w:rsidRPr="00B1335B">
        <w:rPr>
          <w:rFonts w:cs="Times New Roman"/>
        </w:rPr>
        <w:t xml:space="preserve">others point out that </w:t>
      </w:r>
      <w:r w:rsidR="004133A8" w:rsidRPr="00B1335B">
        <w:rPr>
          <w:rFonts w:cs="Times New Roman"/>
        </w:rPr>
        <w:t xml:space="preserve">such an </w:t>
      </w:r>
      <w:r w:rsidR="004133A8" w:rsidRPr="00B1335B">
        <w:rPr>
          <w:rFonts w:cs="Times New Roman"/>
        </w:rPr>
        <w:lastRenderedPageBreak/>
        <w:t>obligation</w:t>
      </w:r>
      <w:r w:rsidR="00BC06F6" w:rsidRPr="00B1335B">
        <w:rPr>
          <w:rFonts w:cs="Times New Roman"/>
        </w:rPr>
        <w:t xml:space="preserve"> would be inconsistent</w:t>
      </w:r>
      <w:r w:rsidR="001B5CD4" w:rsidRPr="00B1335B">
        <w:rPr>
          <w:rFonts w:cs="Times New Roman"/>
        </w:rPr>
        <w:t xml:space="preserve"> </w:t>
      </w:r>
      <w:r w:rsidR="00BC06F6" w:rsidRPr="00B1335B">
        <w:rPr>
          <w:rFonts w:cs="Times New Roman"/>
        </w:rPr>
        <w:t xml:space="preserve">with the </w:t>
      </w:r>
      <w:r w:rsidR="004133A8" w:rsidRPr="00B1335B">
        <w:rPr>
          <w:rFonts w:cs="Times New Roman"/>
        </w:rPr>
        <w:t xml:space="preserve">adversarial nature of settlement </w:t>
      </w:r>
      <w:r w:rsidR="007417B4" w:rsidRPr="00B1335B">
        <w:rPr>
          <w:rFonts w:cs="Times New Roman"/>
        </w:rPr>
        <w:t>negotiations</w:t>
      </w:r>
      <w:r w:rsidR="00D81332" w:rsidRPr="00B1335B">
        <w:rPr>
          <w:rFonts w:cs="Times New Roman"/>
        </w:rPr>
        <w:t xml:space="preserve"> and the lawyer’s duties of confidentiality and zealous advocacy</w:t>
      </w:r>
      <w:r w:rsidR="004133A8" w:rsidRPr="00B1335B">
        <w:rPr>
          <w:rFonts w:cs="Times New Roman"/>
        </w:rPr>
        <w:t>.</w:t>
      </w:r>
      <w:r w:rsidR="004133A8" w:rsidRPr="00B1335B">
        <w:rPr>
          <w:rStyle w:val="FootnoteReference"/>
          <w:rFonts w:cs="Times New Roman"/>
        </w:rPr>
        <w:footnoteReference w:id="24"/>
      </w:r>
    </w:p>
    <w:p w14:paraId="037D1371" w14:textId="59967FF5" w:rsidR="00C57D98" w:rsidRDefault="00CB7181" w:rsidP="00622140">
      <w:pPr>
        <w:spacing w:after="0" w:line="240" w:lineRule="auto"/>
        <w:ind w:firstLine="454"/>
        <w:jc w:val="both"/>
        <w:rPr>
          <w:rFonts w:cs="Times New Roman"/>
        </w:rPr>
      </w:pPr>
      <w:r w:rsidRPr="00B1335B">
        <w:rPr>
          <w:rFonts w:cs="Times New Roman"/>
        </w:rPr>
        <w:t>What is largely absent from these critiques, however, is any attempt to grapple with the underlying rat</w:t>
      </w:r>
      <w:r w:rsidR="00E53BA2" w:rsidRPr="00B1335B">
        <w:rPr>
          <w:rFonts w:cs="Times New Roman"/>
        </w:rPr>
        <w:t xml:space="preserve">ionale for the various ethical duties place on lawyers. As the preamble to the </w:t>
      </w:r>
      <w:r w:rsidR="00E53BA2" w:rsidRPr="00B1335B">
        <w:rPr>
          <w:rFonts w:cs="Times New Roman"/>
          <w:i/>
        </w:rPr>
        <w:t xml:space="preserve">Model Rules </w:t>
      </w:r>
      <w:r w:rsidR="00E53BA2" w:rsidRPr="00B1335B">
        <w:rPr>
          <w:rFonts w:cs="Times New Roman"/>
        </w:rPr>
        <w:t>explains:</w:t>
      </w:r>
    </w:p>
    <w:p w14:paraId="5D880B70" w14:textId="77777777" w:rsidR="002F763D" w:rsidRPr="00B1335B" w:rsidRDefault="002F763D" w:rsidP="00622140">
      <w:pPr>
        <w:spacing w:after="0" w:line="240" w:lineRule="auto"/>
        <w:ind w:firstLine="454"/>
        <w:jc w:val="both"/>
        <w:rPr>
          <w:rFonts w:cs="Times New Roman"/>
        </w:rPr>
      </w:pPr>
    </w:p>
    <w:p w14:paraId="25D33BE2" w14:textId="04110B9F" w:rsidR="00242876" w:rsidRPr="00B1335B" w:rsidRDefault="00E53BA2" w:rsidP="00622140">
      <w:pPr>
        <w:pStyle w:val="Quote"/>
        <w:jc w:val="both"/>
        <w:rPr>
          <w:rFonts w:cs="Times New Roman"/>
        </w:rPr>
      </w:pPr>
      <w:r w:rsidRPr="00B1335B">
        <w:rPr>
          <w:rFonts w:cs="Times New Roman"/>
        </w:rPr>
        <w:t xml:space="preserve">A lawyer’s responsibilities as a representative of clients, an officer of the legal system and a public citizen are usually harmonious. Thus, when an opposing party is well represented, a lawyer can be a zealous advocate on behalf of a client and at the same time assume that justice is being done. So also, a lawyer can be sure that preserving client confidences ordinarily serves the public interest because people are more likely to seek legal advice, and thereby heed their legal obligations, when they know their communications will be private. </w:t>
      </w:r>
    </w:p>
    <w:p w14:paraId="16796753" w14:textId="793ACFA5" w:rsidR="00E53BA2" w:rsidRPr="00B1335B" w:rsidRDefault="0061705F" w:rsidP="00622140">
      <w:pPr>
        <w:spacing w:line="240" w:lineRule="auto"/>
        <w:ind w:firstLine="454"/>
        <w:jc w:val="both"/>
        <w:rPr>
          <w:rFonts w:cs="Times New Roman"/>
        </w:rPr>
      </w:pPr>
      <w:r w:rsidRPr="00B1335B">
        <w:rPr>
          <w:rFonts w:cs="Times New Roman"/>
        </w:rPr>
        <w:t>The</w:t>
      </w:r>
      <w:r w:rsidR="00D81332" w:rsidRPr="00B1335B">
        <w:rPr>
          <w:rFonts w:cs="Times New Roman"/>
        </w:rPr>
        <w:t xml:space="preserve"> lawyer’s duties to the client </w:t>
      </w:r>
      <w:r w:rsidR="00F94E2C" w:rsidRPr="00B1335B">
        <w:rPr>
          <w:rFonts w:cs="Times New Roman"/>
        </w:rPr>
        <w:t>are thereby premised on the more fundamental principle that lawyers, as officers of the legal system, mus</w:t>
      </w:r>
      <w:r w:rsidR="00D81332" w:rsidRPr="00B1335B">
        <w:rPr>
          <w:rFonts w:cs="Times New Roman"/>
        </w:rPr>
        <w:t xml:space="preserve">t act </w:t>
      </w:r>
      <w:r w:rsidR="00F94E2C" w:rsidRPr="00B1335B">
        <w:rPr>
          <w:rFonts w:cs="Times New Roman"/>
        </w:rPr>
        <w:t xml:space="preserve">in furtherance of the administration of justice. Ordinarily, </w:t>
      </w:r>
      <w:r w:rsidR="000669F8">
        <w:rPr>
          <w:rFonts w:cs="Times New Roman"/>
        </w:rPr>
        <w:t>justice will be best served through</w:t>
      </w:r>
      <w:r w:rsidR="00F94E2C" w:rsidRPr="00B1335B">
        <w:rPr>
          <w:rFonts w:cs="Times New Roman"/>
        </w:rPr>
        <w:t xml:space="preserve"> zealous advocacy and the maintenanc</w:t>
      </w:r>
      <w:r w:rsidR="00797EA1" w:rsidRPr="00B1335B">
        <w:rPr>
          <w:rFonts w:cs="Times New Roman"/>
        </w:rPr>
        <w:t xml:space="preserve">e of client confidences, but </w:t>
      </w:r>
      <w:r w:rsidR="00F94E2C" w:rsidRPr="00B1335B">
        <w:rPr>
          <w:rFonts w:cs="Times New Roman"/>
        </w:rPr>
        <w:t xml:space="preserve">this does not always hold true. </w:t>
      </w:r>
      <w:r w:rsidR="00CB75F6" w:rsidRPr="00B1335B">
        <w:rPr>
          <w:rFonts w:cs="Times New Roman"/>
        </w:rPr>
        <w:t>The lawyer</w:t>
      </w:r>
      <w:r w:rsidR="00D81332" w:rsidRPr="00B1335B">
        <w:rPr>
          <w:rFonts w:cs="Times New Roman"/>
        </w:rPr>
        <w:t>s</w:t>
      </w:r>
      <w:r w:rsidR="00CB75F6" w:rsidRPr="00B1335B">
        <w:rPr>
          <w:rFonts w:cs="Times New Roman"/>
        </w:rPr>
        <w:t xml:space="preserve"> in </w:t>
      </w:r>
      <w:r w:rsidR="00CB75F6" w:rsidRPr="00B1335B">
        <w:rPr>
          <w:rFonts w:cs="Times New Roman"/>
          <w:i/>
        </w:rPr>
        <w:t>Spaulding</w:t>
      </w:r>
      <w:r w:rsidR="00797EA1" w:rsidRPr="00B1335B">
        <w:rPr>
          <w:rFonts w:cs="Times New Roman"/>
        </w:rPr>
        <w:t xml:space="preserve">, for example, </w:t>
      </w:r>
      <w:r w:rsidR="00D81332" w:rsidRPr="00B1335B">
        <w:rPr>
          <w:rFonts w:cs="Times New Roman"/>
        </w:rPr>
        <w:t>were</w:t>
      </w:r>
      <w:r w:rsidR="00CB75F6" w:rsidRPr="00B1335B">
        <w:rPr>
          <w:rFonts w:cs="Times New Roman"/>
        </w:rPr>
        <w:t xml:space="preserve"> presumably under no illusion that justice was </w:t>
      </w:r>
      <w:r w:rsidR="00CB75F6" w:rsidRPr="00B1335B">
        <w:rPr>
          <w:rFonts w:cs="Times New Roman"/>
          <w:i/>
        </w:rPr>
        <w:t xml:space="preserve">“being done” </w:t>
      </w:r>
      <w:r w:rsidR="00D81332" w:rsidRPr="00B1335B">
        <w:rPr>
          <w:rFonts w:cs="Times New Roman"/>
        </w:rPr>
        <w:t>when they</w:t>
      </w:r>
      <w:r w:rsidR="00CB75F6" w:rsidRPr="00B1335B">
        <w:rPr>
          <w:rFonts w:cs="Times New Roman"/>
        </w:rPr>
        <w:t xml:space="preserve"> deliberately withheld crucial </w:t>
      </w:r>
      <w:r w:rsidR="003F3D52" w:rsidRPr="00B1335B">
        <w:rPr>
          <w:rFonts w:cs="Times New Roman"/>
        </w:rPr>
        <w:t xml:space="preserve">and potentially lifesaving </w:t>
      </w:r>
      <w:r w:rsidR="00CB75F6" w:rsidRPr="00B1335B">
        <w:rPr>
          <w:rFonts w:cs="Times New Roman"/>
        </w:rPr>
        <w:t xml:space="preserve">information in order to force down the settlement price. Similarly, it would be difficult to argue that maintaining </w:t>
      </w:r>
      <w:r w:rsidR="000669F8">
        <w:rPr>
          <w:rFonts w:cs="Times New Roman"/>
        </w:rPr>
        <w:t>confidentiality</w:t>
      </w:r>
      <w:r w:rsidR="003F3D52" w:rsidRPr="00B1335B">
        <w:rPr>
          <w:rFonts w:cs="Times New Roman"/>
        </w:rPr>
        <w:t xml:space="preserve"> </w:t>
      </w:r>
      <w:r w:rsidR="00AB287B" w:rsidRPr="00B1335B">
        <w:rPr>
          <w:rFonts w:cs="Times New Roman"/>
        </w:rPr>
        <w:t>serves the public interest if</w:t>
      </w:r>
      <w:r w:rsidR="003F3D52" w:rsidRPr="00B1335B">
        <w:rPr>
          <w:rFonts w:cs="Times New Roman"/>
        </w:rPr>
        <w:t xml:space="preserve"> the</w:t>
      </w:r>
      <w:r w:rsidR="002A6644">
        <w:rPr>
          <w:rFonts w:cs="Times New Roman"/>
        </w:rPr>
        <w:t xml:space="preserve"> consequences</w:t>
      </w:r>
      <w:r w:rsidR="003F3D52" w:rsidRPr="00B1335B">
        <w:rPr>
          <w:rFonts w:cs="Times New Roman"/>
        </w:rPr>
        <w:t xml:space="preserve"> include an innocent party being </w:t>
      </w:r>
      <w:r w:rsidR="00A961D9">
        <w:rPr>
          <w:rFonts w:cs="Times New Roman"/>
        </w:rPr>
        <w:t>knowingly</w:t>
      </w:r>
      <w:r w:rsidRPr="00B1335B">
        <w:rPr>
          <w:rFonts w:cs="Times New Roman"/>
        </w:rPr>
        <w:t xml:space="preserve"> </w:t>
      </w:r>
      <w:r w:rsidR="003F3D52" w:rsidRPr="00B1335B">
        <w:rPr>
          <w:rFonts w:cs="Times New Roman"/>
        </w:rPr>
        <w:t>exposed to the risk of</w:t>
      </w:r>
      <w:r w:rsidR="00797EA1" w:rsidRPr="00B1335B">
        <w:rPr>
          <w:rFonts w:cs="Times New Roman"/>
        </w:rPr>
        <w:t xml:space="preserve"> </w:t>
      </w:r>
      <w:r w:rsidR="003F3D52" w:rsidRPr="00B1335B">
        <w:rPr>
          <w:rFonts w:cs="Times New Roman"/>
        </w:rPr>
        <w:t>death</w:t>
      </w:r>
      <w:r w:rsidR="00797EA1" w:rsidRPr="00B1335B">
        <w:rPr>
          <w:rFonts w:cs="Times New Roman"/>
        </w:rPr>
        <w:t xml:space="preserve"> </w:t>
      </w:r>
      <w:r w:rsidR="00D81332" w:rsidRPr="00B1335B">
        <w:rPr>
          <w:rFonts w:cs="Times New Roman"/>
        </w:rPr>
        <w:t>and denied the opportunity to seek due compensation.</w:t>
      </w:r>
    </w:p>
    <w:p w14:paraId="5EA666AD" w14:textId="16D5CB94" w:rsidR="00FC7D18" w:rsidRDefault="00101CCE" w:rsidP="00622140">
      <w:pPr>
        <w:spacing w:after="0" w:line="240" w:lineRule="auto"/>
        <w:ind w:firstLine="454"/>
        <w:jc w:val="both"/>
        <w:rPr>
          <w:rFonts w:cs="Times New Roman"/>
        </w:rPr>
      </w:pPr>
      <w:r w:rsidRPr="00B1335B">
        <w:rPr>
          <w:rFonts w:cs="Times New Roman"/>
        </w:rPr>
        <w:t>In other areas of dispute resolution</w:t>
      </w:r>
      <w:r w:rsidR="00A20A05" w:rsidRPr="00B1335B">
        <w:rPr>
          <w:rFonts w:cs="Times New Roman"/>
        </w:rPr>
        <w:t>, the professi</w:t>
      </w:r>
      <w:r w:rsidR="00AA6BA5" w:rsidRPr="00B1335B">
        <w:rPr>
          <w:rFonts w:cs="Times New Roman"/>
        </w:rPr>
        <w:t>on has dealt with these issues</w:t>
      </w:r>
      <w:r w:rsidR="00A20A05" w:rsidRPr="00B1335B">
        <w:rPr>
          <w:rFonts w:cs="Times New Roman"/>
        </w:rPr>
        <w:t xml:space="preserve"> by recognizing that the lawyer</w:t>
      </w:r>
      <w:r w:rsidR="00757627" w:rsidRPr="00B1335B">
        <w:rPr>
          <w:rFonts w:cs="Times New Roman"/>
        </w:rPr>
        <w:t>’</w:t>
      </w:r>
      <w:r w:rsidR="00A20A05" w:rsidRPr="00B1335B">
        <w:rPr>
          <w:rFonts w:cs="Times New Roman"/>
        </w:rPr>
        <w:t xml:space="preserve">s duties of confidentiality and zealous advocacy </w:t>
      </w:r>
      <w:r w:rsidR="00757627" w:rsidRPr="00B1335B">
        <w:rPr>
          <w:rFonts w:cs="Times New Roman"/>
        </w:rPr>
        <w:t xml:space="preserve">are subject to the overriding demands of </w:t>
      </w:r>
      <w:r w:rsidR="00AA6BA5" w:rsidRPr="00B1335B">
        <w:rPr>
          <w:rFonts w:cs="Times New Roman"/>
        </w:rPr>
        <w:t>justice</w:t>
      </w:r>
      <w:r w:rsidR="00757627" w:rsidRPr="00B1335B">
        <w:rPr>
          <w:rFonts w:cs="Times New Roman"/>
        </w:rPr>
        <w:t>. A law</w:t>
      </w:r>
      <w:r w:rsidR="00687C78" w:rsidRPr="00B1335B">
        <w:rPr>
          <w:rFonts w:cs="Times New Roman"/>
        </w:rPr>
        <w:t xml:space="preserve">yer, for example, is forbidden </w:t>
      </w:r>
      <w:r w:rsidR="00757627" w:rsidRPr="00B1335B">
        <w:rPr>
          <w:rFonts w:cs="Times New Roman"/>
        </w:rPr>
        <w:t xml:space="preserve">from </w:t>
      </w:r>
      <w:r w:rsidR="00757627" w:rsidRPr="00B1335B">
        <w:rPr>
          <w:rFonts w:cs="Times New Roman"/>
        </w:rPr>
        <w:lastRenderedPageBreak/>
        <w:t>raising issues or prosecuting arguments that are frivolous or made in bad faith, notwithstanding</w:t>
      </w:r>
      <w:r w:rsidR="00AA6BA5" w:rsidRPr="00B1335B">
        <w:rPr>
          <w:rFonts w:cs="Times New Roman"/>
        </w:rPr>
        <w:t xml:space="preserve"> that it may be in the client’s</w:t>
      </w:r>
      <w:r w:rsidR="007D3D6B" w:rsidRPr="00B1335B">
        <w:rPr>
          <w:rFonts w:cs="Times New Roman"/>
        </w:rPr>
        <w:t xml:space="preserve"> </w:t>
      </w:r>
      <w:r w:rsidR="00757627" w:rsidRPr="00B1335B">
        <w:rPr>
          <w:rFonts w:cs="Times New Roman"/>
        </w:rPr>
        <w:t>interests to do so.</w:t>
      </w:r>
      <w:r w:rsidR="00757627" w:rsidRPr="00B1335B">
        <w:rPr>
          <w:rStyle w:val="FootnoteReference"/>
          <w:rFonts w:cs="Times New Roman"/>
        </w:rPr>
        <w:footnoteReference w:id="25"/>
      </w:r>
      <w:r w:rsidR="007D3D6B" w:rsidRPr="00B1335B">
        <w:rPr>
          <w:rFonts w:cs="Times New Roman"/>
        </w:rPr>
        <w:t xml:space="preserve"> In a similar vein, lawyers are </w:t>
      </w:r>
      <w:r w:rsidR="00AA6BA5" w:rsidRPr="00B1335B">
        <w:rPr>
          <w:rFonts w:cs="Times New Roman"/>
        </w:rPr>
        <w:t>prohibited from making false statements of fact or law</w:t>
      </w:r>
      <w:r w:rsidR="00353BAF" w:rsidRPr="00B1335B">
        <w:rPr>
          <w:rFonts w:cs="Times New Roman"/>
        </w:rPr>
        <w:t xml:space="preserve"> to adjudicative bodies</w:t>
      </w:r>
      <w:r w:rsidR="00AA6BA5" w:rsidRPr="00B1335B">
        <w:rPr>
          <w:rFonts w:cs="Times New Roman"/>
        </w:rPr>
        <w:t xml:space="preserve">, are </w:t>
      </w:r>
      <w:r w:rsidR="00353BAF" w:rsidRPr="00B1335B">
        <w:rPr>
          <w:rFonts w:cs="Times New Roman"/>
        </w:rPr>
        <w:t xml:space="preserve">bound to disclose </w:t>
      </w:r>
      <w:r w:rsidR="007D3D6B" w:rsidRPr="00B1335B">
        <w:rPr>
          <w:rFonts w:cs="Times New Roman"/>
        </w:rPr>
        <w:t>any binding adverse legal authority, and may also be required to disclose criminal or fraudulent conduct by the</w:t>
      </w:r>
      <w:r w:rsidR="003D7EBE" w:rsidRPr="00B1335B">
        <w:rPr>
          <w:rFonts w:cs="Times New Roman"/>
        </w:rPr>
        <w:t>ir</w:t>
      </w:r>
      <w:r w:rsidR="007D3D6B" w:rsidRPr="00B1335B">
        <w:rPr>
          <w:rFonts w:cs="Times New Roman"/>
        </w:rPr>
        <w:t xml:space="preserve"> client.</w:t>
      </w:r>
      <w:r w:rsidR="007D3D6B" w:rsidRPr="00B1335B">
        <w:rPr>
          <w:rStyle w:val="FootnoteReference"/>
          <w:rFonts w:cs="Times New Roman"/>
        </w:rPr>
        <w:footnoteReference w:id="26"/>
      </w:r>
      <w:r w:rsidR="007D3D6B" w:rsidRPr="00B1335B">
        <w:rPr>
          <w:rFonts w:cs="Times New Roman"/>
        </w:rPr>
        <w:t xml:space="preserve"> </w:t>
      </w:r>
      <w:r w:rsidR="00F40ECA" w:rsidRPr="00B1335B">
        <w:rPr>
          <w:rFonts w:cs="Times New Roman"/>
        </w:rPr>
        <w:t>Furthermore, t</w:t>
      </w:r>
      <w:r w:rsidR="00E14C39" w:rsidRPr="00B1335B">
        <w:rPr>
          <w:rFonts w:cs="Times New Roman"/>
        </w:rPr>
        <w:t xml:space="preserve">he </w:t>
      </w:r>
      <w:r w:rsidR="00E14C39" w:rsidRPr="00B1335B">
        <w:rPr>
          <w:rFonts w:cs="Times New Roman"/>
          <w:i/>
        </w:rPr>
        <w:t>Model Rules</w:t>
      </w:r>
      <w:r w:rsidR="00E14C39" w:rsidRPr="00B1335B">
        <w:rPr>
          <w:rFonts w:cs="Times New Roman"/>
        </w:rPr>
        <w:t xml:space="preserve"> expressly impose on lawyers engaged in</w:t>
      </w:r>
      <w:r w:rsidR="00F40ECA" w:rsidRPr="00B1335B">
        <w:rPr>
          <w:rFonts w:cs="Times New Roman"/>
        </w:rPr>
        <w:t xml:space="preserve"> adversarial proceedings a duty </w:t>
      </w:r>
      <w:r w:rsidR="00E14C39" w:rsidRPr="00B1335B">
        <w:rPr>
          <w:rFonts w:cs="Times New Roman"/>
        </w:rPr>
        <w:t>of fairness to t</w:t>
      </w:r>
      <w:r w:rsidR="00F40ECA" w:rsidRPr="00B1335B">
        <w:rPr>
          <w:rFonts w:cs="Times New Roman"/>
        </w:rPr>
        <w:t>he opposing party and counsel</w:t>
      </w:r>
      <w:r w:rsidR="00B746F4" w:rsidRPr="00B1335B">
        <w:rPr>
          <w:rFonts w:cs="Times New Roman"/>
        </w:rPr>
        <w:t xml:space="preserve">, </w:t>
      </w:r>
      <w:r w:rsidR="00F829DC" w:rsidRPr="00B1335B">
        <w:rPr>
          <w:rFonts w:cs="Times New Roman"/>
        </w:rPr>
        <w:t>pursuant</w:t>
      </w:r>
      <w:r w:rsidR="00687C78" w:rsidRPr="00B1335B">
        <w:rPr>
          <w:rFonts w:cs="Times New Roman"/>
        </w:rPr>
        <w:t xml:space="preserve"> to which lawyers are barred</w:t>
      </w:r>
      <w:r w:rsidR="00F829DC" w:rsidRPr="00B1335B">
        <w:rPr>
          <w:rFonts w:cs="Times New Roman"/>
        </w:rPr>
        <w:t xml:space="preserve"> from (among other things) destroying or concealing evidence or making use of certain </w:t>
      </w:r>
      <w:r w:rsidR="00734C77" w:rsidRPr="00B1335B">
        <w:rPr>
          <w:rFonts w:cs="Times New Roman"/>
        </w:rPr>
        <w:t xml:space="preserve">diversionary </w:t>
      </w:r>
      <w:r w:rsidR="00687C78" w:rsidRPr="00B1335B">
        <w:rPr>
          <w:rFonts w:cs="Times New Roman"/>
        </w:rPr>
        <w:t xml:space="preserve">and misleading </w:t>
      </w:r>
      <w:r w:rsidR="00734C77" w:rsidRPr="00B1335B">
        <w:rPr>
          <w:rFonts w:cs="Times New Roman"/>
        </w:rPr>
        <w:t>tactics during trial</w:t>
      </w:r>
      <w:r w:rsidR="006A3F83" w:rsidRPr="00B1335B">
        <w:rPr>
          <w:rFonts w:cs="Times New Roman"/>
        </w:rPr>
        <w:t>.</w:t>
      </w:r>
      <w:r w:rsidR="00B746F4" w:rsidRPr="00B1335B">
        <w:rPr>
          <w:rStyle w:val="FootnoteReference"/>
          <w:rFonts w:cs="Times New Roman"/>
        </w:rPr>
        <w:footnoteReference w:id="27"/>
      </w:r>
      <w:r w:rsidR="00FC7D18" w:rsidRPr="00B1335B">
        <w:rPr>
          <w:rFonts w:cs="Times New Roman"/>
        </w:rPr>
        <w:t xml:space="preserve"> </w:t>
      </w:r>
      <w:r w:rsidR="0023277F">
        <w:rPr>
          <w:rFonts w:cs="Times New Roman"/>
        </w:rPr>
        <w:t>As</w:t>
      </w:r>
      <w:r w:rsidR="00FC7D18" w:rsidRPr="00B1335B">
        <w:rPr>
          <w:rFonts w:cs="Times New Roman"/>
        </w:rPr>
        <w:t xml:space="preserve"> the commentary to Rule 3.3 </w:t>
      </w:r>
      <w:r w:rsidR="0023277F">
        <w:rPr>
          <w:rFonts w:cs="Times New Roman"/>
        </w:rPr>
        <w:t xml:space="preserve">explains </w:t>
      </w:r>
      <w:r w:rsidR="00FC7D18" w:rsidRPr="00B1335B">
        <w:rPr>
          <w:rFonts w:cs="Times New Roman"/>
        </w:rPr>
        <w:t>(emphasis added):</w:t>
      </w:r>
    </w:p>
    <w:p w14:paraId="472BB17C" w14:textId="77777777" w:rsidR="002F763D" w:rsidRPr="00B1335B" w:rsidRDefault="002F763D" w:rsidP="00622140">
      <w:pPr>
        <w:spacing w:after="0" w:line="240" w:lineRule="auto"/>
        <w:ind w:firstLine="454"/>
        <w:jc w:val="both"/>
        <w:rPr>
          <w:rFonts w:cs="Times New Roman"/>
        </w:rPr>
      </w:pPr>
    </w:p>
    <w:p w14:paraId="30BDE22D" w14:textId="4C828EEE" w:rsidR="00FC7D18" w:rsidRPr="00B1335B" w:rsidRDefault="0023277F" w:rsidP="00622140">
      <w:pPr>
        <w:pStyle w:val="Quote"/>
        <w:jc w:val="both"/>
        <w:rPr>
          <w:rFonts w:cs="Times New Roman"/>
        </w:rPr>
      </w:pPr>
      <w:r>
        <w:rPr>
          <w:rFonts w:cs="Times New Roman"/>
        </w:rPr>
        <w:t>[Lawyers owe] special duties…</w:t>
      </w:r>
      <w:r w:rsidR="00FC7D18" w:rsidRPr="00B1335B">
        <w:rPr>
          <w:rFonts w:cs="Times New Roman"/>
        </w:rPr>
        <w:t xml:space="preserve"> as officers of the court to avoid conduct that undermines the integrity of the adjudicative process. A lawyer acting as an advocate in an adjudicative proceeding has an obligation to present the client’s case with persuasive force. </w:t>
      </w:r>
      <w:r w:rsidR="00FC7D18" w:rsidRPr="00B1335B">
        <w:rPr>
          <w:rFonts w:cs="Times New Roman"/>
          <w:b/>
        </w:rPr>
        <w:t>Performance of that duty while maintaining confidences of the client, however, is qualified by the advocate’s duty of candor to the tribunal</w:t>
      </w:r>
      <w:r w:rsidR="00FC7D18" w:rsidRPr="00B1335B">
        <w:rPr>
          <w:rFonts w:cs="Times New Roman"/>
        </w:rPr>
        <w:t xml:space="preserve">. Consequently, although a lawyer in an adversary proceeding is not required to present an impartial exposition of the law or to vouch for the evidence submitted in a cause, the lawyer must not allow the tribunal to be </w:t>
      </w:r>
      <w:proofErr w:type="spellStart"/>
      <w:proofErr w:type="gramStart"/>
      <w:r w:rsidR="00FC7D18" w:rsidRPr="00B1335B">
        <w:rPr>
          <w:rFonts w:cs="Times New Roman"/>
        </w:rPr>
        <w:t>mislead</w:t>
      </w:r>
      <w:proofErr w:type="spellEnd"/>
      <w:proofErr w:type="gramEnd"/>
      <w:r w:rsidR="00FC7D18" w:rsidRPr="00B1335B">
        <w:rPr>
          <w:rFonts w:cs="Times New Roman"/>
        </w:rPr>
        <w:t xml:space="preserve"> by false statements of law or fact or evidence that the lawyer knows to be false. </w:t>
      </w:r>
    </w:p>
    <w:p w14:paraId="2F56DC15" w14:textId="637E3877" w:rsidR="00687C78" w:rsidRPr="00B1335B" w:rsidRDefault="00101CCE" w:rsidP="00622140">
      <w:pPr>
        <w:spacing w:line="240" w:lineRule="auto"/>
        <w:ind w:firstLine="454"/>
        <w:jc w:val="both"/>
        <w:rPr>
          <w:rFonts w:cs="Times New Roman"/>
        </w:rPr>
      </w:pPr>
      <w:r w:rsidRPr="00B1335B">
        <w:rPr>
          <w:rFonts w:cs="Times New Roman"/>
        </w:rPr>
        <w:t xml:space="preserve">In light of the now central role that mediation plays in the </w:t>
      </w:r>
      <w:r w:rsidR="00353BAF" w:rsidRPr="00B1335B">
        <w:rPr>
          <w:rFonts w:cs="Times New Roman"/>
        </w:rPr>
        <w:t>justice system</w:t>
      </w:r>
      <w:r w:rsidRPr="00B1335B">
        <w:rPr>
          <w:rFonts w:cs="Times New Roman"/>
        </w:rPr>
        <w:t>, it is difficult to find any basis in principle for distinguishing between the duties owed by lawyers engaged in mediat</w:t>
      </w:r>
      <w:r w:rsidR="00FC7D18" w:rsidRPr="00B1335B">
        <w:rPr>
          <w:rFonts w:cs="Times New Roman"/>
        </w:rPr>
        <w:t xml:space="preserve">ion </w:t>
      </w:r>
      <w:r w:rsidR="0023277F">
        <w:rPr>
          <w:rFonts w:cs="Times New Roman"/>
        </w:rPr>
        <w:t xml:space="preserve">and those involved in </w:t>
      </w:r>
      <w:r w:rsidR="00FC7D18" w:rsidRPr="00B1335B">
        <w:rPr>
          <w:rFonts w:cs="Times New Roman"/>
        </w:rPr>
        <w:t>adjudicative forms</w:t>
      </w:r>
      <w:r w:rsidRPr="00B1335B">
        <w:rPr>
          <w:rFonts w:cs="Times New Roman"/>
        </w:rPr>
        <w:t xml:space="preserve"> </w:t>
      </w:r>
      <w:r w:rsidR="00FC7D18" w:rsidRPr="00B1335B">
        <w:rPr>
          <w:rFonts w:cs="Times New Roman"/>
        </w:rPr>
        <w:t xml:space="preserve">of </w:t>
      </w:r>
      <w:r w:rsidRPr="00B1335B">
        <w:rPr>
          <w:rFonts w:cs="Times New Roman"/>
        </w:rPr>
        <w:t>dispute resolution. While it is true that mediation allows for a greater degree of flexibility and inform</w:t>
      </w:r>
      <w:r w:rsidR="00353BAF" w:rsidRPr="00B1335B">
        <w:rPr>
          <w:rFonts w:cs="Times New Roman"/>
        </w:rPr>
        <w:t>ality, the mediation process can</w:t>
      </w:r>
      <w:r w:rsidRPr="00B1335B">
        <w:rPr>
          <w:rFonts w:cs="Times New Roman"/>
        </w:rPr>
        <w:t xml:space="preserve"> nevertheless result in binding</w:t>
      </w:r>
      <w:r w:rsidR="00E84CE4" w:rsidRPr="00B1335B">
        <w:rPr>
          <w:rFonts w:cs="Times New Roman"/>
        </w:rPr>
        <w:t xml:space="preserve"> agreements</w:t>
      </w:r>
      <w:r w:rsidR="00311BFE" w:rsidRPr="00B1335B">
        <w:rPr>
          <w:rFonts w:cs="Times New Roman"/>
        </w:rPr>
        <w:t xml:space="preserve"> that fundamentally</w:t>
      </w:r>
      <w:r w:rsidRPr="00B1335B">
        <w:rPr>
          <w:rFonts w:cs="Times New Roman"/>
        </w:rPr>
        <w:t xml:space="preserve"> alter </w:t>
      </w:r>
      <w:r w:rsidR="00311BFE" w:rsidRPr="00B1335B">
        <w:rPr>
          <w:rFonts w:cs="Times New Roman"/>
        </w:rPr>
        <w:t xml:space="preserve">the legal rights of the </w:t>
      </w:r>
      <w:r w:rsidR="00E0052B" w:rsidRPr="00B1335B">
        <w:rPr>
          <w:rFonts w:cs="Times New Roman"/>
        </w:rPr>
        <w:t>participants</w:t>
      </w:r>
      <w:r w:rsidR="00311BFE" w:rsidRPr="00B1335B">
        <w:rPr>
          <w:rFonts w:cs="Times New Roman"/>
        </w:rPr>
        <w:t xml:space="preserve">. </w:t>
      </w:r>
      <w:r w:rsidR="00E0052B" w:rsidRPr="00B1335B">
        <w:rPr>
          <w:rFonts w:cs="Times New Roman"/>
        </w:rPr>
        <w:t>Moreover, t</w:t>
      </w:r>
      <w:r w:rsidR="00311BFE" w:rsidRPr="00B1335B">
        <w:rPr>
          <w:rFonts w:cs="Times New Roman"/>
        </w:rPr>
        <w:t xml:space="preserve">he need </w:t>
      </w:r>
      <w:r w:rsidR="00687C78" w:rsidRPr="00B1335B">
        <w:rPr>
          <w:rFonts w:cs="Times New Roman"/>
        </w:rPr>
        <w:t>for lawyers to</w:t>
      </w:r>
      <w:r w:rsidR="00353BAF" w:rsidRPr="00B1335B">
        <w:rPr>
          <w:rFonts w:cs="Times New Roman"/>
        </w:rPr>
        <w:t xml:space="preserve"> adhere to overriding principles</w:t>
      </w:r>
      <w:r w:rsidR="0033566C" w:rsidRPr="00B1335B">
        <w:rPr>
          <w:rFonts w:cs="Times New Roman"/>
        </w:rPr>
        <w:t xml:space="preserve"> of justice and fairness is</w:t>
      </w:r>
      <w:r w:rsidR="00311BFE" w:rsidRPr="00B1335B">
        <w:rPr>
          <w:rFonts w:cs="Times New Roman"/>
        </w:rPr>
        <w:t xml:space="preserve">, if anything, more acute in circumstances where the parties </w:t>
      </w:r>
      <w:r w:rsidR="00E0052B" w:rsidRPr="00B1335B">
        <w:rPr>
          <w:rFonts w:cs="Times New Roman"/>
        </w:rPr>
        <w:t xml:space="preserve">may </w:t>
      </w:r>
      <w:r w:rsidR="00311BFE" w:rsidRPr="00B1335B">
        <w:rPr>
          <w:rFonts w:cs="Times New Roman"/>
        </w:rPr>
        <w:t xml:space="preserve">lack access to other mechanisms by which to obtain crucial information. </w:t>
      </w:r>
      <w:r w:rsidR="0033566C" w:rsidRPr="00B1335B">
        <w:rPr>
          <w:rFonts w:cs="Times New Roman"/>
        </w:rPr>
        <w:lastRenderedPageBreak/>
        <w:t xml:space="preserve">In the absence of meaningful </w:t>
      </w:r>
      <w:r w:rsidR="009A7232" w:rsidRPr="00B1335B">
        <w:rPr>
          <w:rFonts w:cs="Times New Roman"/>
        </w:rPr>
        <w:t>duties</w:t>
      </w:r>
      <w:r w:rsidR="0033566C" w:rsidRPr="00B1335B">
        <w:rPr>
          <w:rFonts w:cs="Times New Roman"/>
        </w:rPr>
        <w:t xml:space="preserve"> of honesty and candor, there is a very real risk that mediation will be used </w:t>
      </w:r>
      <w:r w:rsidR="00687C78" w:rsidRPr="00B1335B">
        <w:rPr>
          <w:rFonts w:cs="Times New Roman"/>
        </w:rPr>
        <w:t>by savvy practitioners</w:t>
      </w:r>
      <w:r w:rsidR="00E84CE4" w:rsidRPr="00B1335B">
        <w:rPr>
          <w:rFonts w:cs="Times New Roman"/>
        </w:rPr>
        <w:t xml:space="preserve"> to circumvent due process</w:t>
      </w:r>
      <w:r w:rsidR="005C499B" w:rsidRPr="00B1335B">
        <w:rPr>
          <w:rFonts w:cs="Times New Roman"/>
        </w:rPr>
        <w:t>,</w:t>
      </w:r>
      <w:r w:rsidR="00E84CE4" w:rsidRPr="00B1335B">
        <w:rPr>
          <w:rFonts w:cs="Times New Roman"/>
        </w:rPr>
        <w:t xml:space="preserve"> and </w:t>
      </w:r>
      <w:r w:rsidR="009A7232" w:rsidRPr="00B1335B">
        <w:rPr>
          <w:rFonts w:cs="Times New Roman"/>
        </w:rPr>
        <w:t xml:space="preserve">secure </w:t>
      </w:r>
      <w:r w:rsidR="00E84CE4" w:rsidRPr="00B1335B">
        <w:rPr>
          <w:rFonts w:cs="Times New Roman"/>
        </w:rPr>
        <w:t>unjust advantages for their clients</w:t>
      </w:r>
      <w:r w:rsidR="00BB7206" w:rsidRPr="00B1335B">
        <w:rPr>
          <w:rFonts w:cs="Times New Roman"/>
        </w:rPr>
        <w:t>.</w:t>
      </w:r>
      <w:r w:rsidR="00047F20" w:rsidRPr="00B1335B">
        <w:rPr>
          <w:rStyle w:val="FootnoteReference"/>
          <w:rFonts w:cs="Times New Roman"/>
        </w:rPr>
        <w:footnoteReference w:id="28"/>
      </w:r>
      <w:r w:rsidR="00353BAF" w:rsidRPr="00B1335B">
        <w:rPr>
          <w:rFonts w:cs="Times New Roman"/>
        </w:rPr>
        <w:t xml:space="preserve"> </w:t>
      </w:r>
    </w:p>
    <w:p w14:paraId="33B98436" w14:textId="6C1DD065" w:rsidR="00101CCE" w:rsidRPr="00B1335B" w:rsidRDefault="00687C78" w:rsidP="00622140">
      <w:pPr>
        <w:spacing w:line="240" w:lineRule="auto"/>
        <w:ind w:firstLine="454"/>
        <w:jc w:val="both"/>
        <w:rPr>
          <w:rFonts w:cs="Times New Roman"/>
        </w:rPr>
      </w:pPr>
      <w:r w:rsidRPr="00B1335B">
        <w:rPr>
          <w:rFonts w:cs="Times New Roman"/>
        </w:rPr>
        <w:t xml:space="preserve">Despite this, the </w:t>
      </w:r>
      <w:r w:rsidR="00353BAF" w:rsidRPr="00B1335B">
        <w:rPr>
          <w:rFonts w:cs="Times New Roman"/>
        </w:rPr>
        <w:t>use of dishonest and misleading tactics during mediation</w:t>
      </w:r>
      <w:r w:rsidRPr="00B1335B">
        <w:rPr>
          <w:rFonts w:cs="Times New Roman"/>
        </w:rPr>
        <w:t xml:space="preserve"> appears to be regarded by many practitioners as inevitable and even desirable</w:t>
      </w:r>
      <w:r w:rsidR="00353BAF" w:rsidRPr="00B1335B">
        <w:rPr>
          <w:rFonts w:cs="Times New Roman"/>
        </w:rPr>
        <w:t>.</w:t>
      </w:r>
      <w:r w:rsidR="00427920" w:rsidRPr="00B1335B">
        <w:rPr>
          <w:rStyle w:val="FootnoteReference"/>
          <w:rFonts w:cs="Times New Roman"/>
        </w:rPr>
        <w:footnoteReference w:id="29"/>
      </w:r>
      <w:r w:rsidR="00353BAF" w:rsidRPr="00B1335B">
        <w:rPr>
          <w:rFonts w:cs="Times New Roman"/>
        </w:rPr>
        <w:t xml:space="preserve"> If not checked, these practices will </w:t>
      </w:r>
      <w:r w:rsidR="00427920" w:rsidRPr="00B1335B">
        <w:rPr>
          <w:rFonts w:cs="Times New Roman"/>
        </w:rPr>
        <w:t>continue to</w:t>
      </w:r>
      <w:r w:rsidR="00353BAF" w:rsidRPr="00B1335B">
        <w:rPr>
          <w:rFonts w:cs="Times New Roman"/>
        </w:rPr>
        <w:t xml:space="preserve"> erode the public standing of the legal profession, and </w:t>
      </w:r>
      <w:r w:rsidR="00A07C72" w:rsidRPr="00B1335B">
        <w:rPr>
          <w:rFonts w:cs="Times New Roman"/>
        </w:rPr>
        <w:t>permit</w:t>
      </w:r>
      <w:r w:rsidR="00353BAF" w:rsidRPr="00B1335B">
        <w:rPr>
          <w:rFonts w:cs="Times New Roman"/>
        </w:rPr>
        <w:t xml:space="preserve"> mediation </w:t>
      </w:r>
      <w:r w:rsidR="00A07C72" w:rsidRPr="00B1335B">
        <w:rPr>
          <w:rFonts w:cs="Times New Roman"/>
        </w:rPr>
        <w:t>to become an</w:t>
      </w:r>
      <w:r w:rsidR="00D140E1" w:rsidRPr="00B1335B">
        <w:rPr>
          <w:rFonts w:cs="Times New Roman"/>
        </w:rPr>
        <w:t xml:space="preserve"> instrument of</w:t>
      </w:r>
      <w:r w:rsidR="00353BAF" w:rsidRPr="00B1335B">
        <w:rPr>
          <w:rFonts w:cs="Times New Roman"/>
        </w:rPr>
        <w:t xml:space="preserve"> injustice. </w:t>
      </w:r>
      <w:r w:rsidR="0033566C" w:rsidRPr="00B1335B">
        <w:rPr>
          <w:rFonts w:cs="Times New Roman"/>
        </w:rPr>
        <w:t xml:space="preserve"> </w:t>
      </w:r>
    </w:p>
    <w:p w14:paraId="5E000FC9" w14:textId="2CD6FDF5" w:rsidR="009253C4" w:rsidRPr="00B1335B" w:rsidRDefault="00645FE2" w:rsidP="00622140">
      <w:pPr>
        <w:pStyle w:val="Heading2"/>
        <w:spacing w:line="240" w:lineRule="auto"/>
        <w:jc w:val="both"/>
        <w:rPr>
          <w:rFonts w:cs="Times New Roman"/>
        </w:rPr>
      </w:pPr>
      <w:r w:rsidRPr="00B1335B">
        <w:rPr>
          <w:rFonts w:cs="Times New Roman"/>
        </w:rPr>
        <w:t xml:space="preserve">The uncertain distinction between omissions and misrepresentations </w:t>
      </w:r>
    </w:p>
    <w:p w14:paraId="1C1C78B4" w14:textId="7766FAF9" w:rsidR="00687C78" w:rsidRPr="00B1335B" w:rsidRDefault="004B219C" w:rsidP="00622140">
      <w:pPr>
        <w:spacing w:line="240" w:lineRule="auto"/>
        <w:ind w:firstLine="454"/>
        <w:jc w:val="both"/>
        <w:rPr>
          <w:rFonts w:cs="Times New Roman"/>
        </w:rPr>
      </w:pPr>
      <w:r w:rsidRPr="00B1335B">
        <w:rPr>
          <w:rFonts w:cs="Times New Roman"/>
        </w:rPr>
        <w:t xml:space="preserve">In </w:t>
      </w:r>
      <w:r w:rsidR="00427920" w:rsidRPr="00B1335B">
        <w:rPr>
          <w:rFonts w:cs="Times New Roman"/>
        </w:rPr>
        <w:t xml:space="preserve">addition to permitting </w:t>
      </w:r>
      <w:r w:rsidRPr="00B1335B">
        <w:rPr>
          <w:rFonts w:cs="Times New Roman"/>
        </w:rPr>
        <w:t>undesirable conduct, the current rules regarding honesty in mediation have also been productive of significant confusion and uncertainty</w:t>
      </w:r>
      <w:r w:rsidR="002D0EAD" w:rsidRPr="00B1335B">
        <w:rPr>
          <w:rFonts w:cs="Times New Roman"/>
        </w:rPr>
        <w:t xml:space="preserve">. At the heart of this </w:t>
      </w:r>
      <w:r w:rsidR="0029248B" w:rsidRPr="00B1335B">
        <w:rPr>
          <w:rFonts w:cs="Times New Roman"/>
        </w:rPr>
        <w:t>confusion</w:t>
      </w:r>
      <w:r w:rsidR="002D0EAD" w:rsidRPr="00B1335B">
        <w:rPr>
          <w:rFonts w:cs="Times New Roman"/>
        </w:rPr>
        <w:t xml:space="preserve"> is</w:t>
      </w:r>
      <w:r w:rsidR="00FF6DB8" w:rsidRPr="00B1335B">
        <w:rPr>
          <w:rFonts w:cs="Times New Roman"/>
        </w:rPr>
        <w:t xml:space="preserve"> the difficult and sometimes</w:t>
      </w:r>
      <w:r w:rsidRPr="00B1335B">
        <w:rPr>
          <w:rFonts w:cs="Times New Roman"/>
        </w:rPr>
        <w:t xml:space="preserve"> illusory distinction between </w:t>
      </w:r>
      <w:r w:rsidR="002D0EAD" w:rsidRPr="00B1335B">
        <w:rPr>
          <w:rFonts w:cs="Times New Roman"/>
        </w:rPr>
        <w:t xml:space="preserve">mere omissions (where the lawyer </w:t>
      </w:r>
      <w:r w:rsidR="002E5340" w:rsidRPr="00B1335B">
        <w:rPr>
          <w:rFonts w:cs="Times New Roman"/>
        </w:rPr>
        <w:t xml:space="preserve">currently </w:t>
      </w:r>
      <w:r w:rsidR="002D0EAD" w:rsidRPr="00B1335B">
        <w:rPr>
          <w:rFonts w:cs="Times New Roman"/>
        </w:rPr>
        <w:t xml:space="preserve">has no duty of disclosure) and omissions amounting to positive misstatements (for which the lawyer owes a duty to correct the misunderstanding). </w:t>
      </w:r>
      <w:r w:rsidR="0036163F" w:rsidRPr="00B1335B">
        <w:rPr>
          <w:rFonts w:cs="Times New Roman"/>
        </w:rPr>
        <w:t>The absence of clear and consistent guidance on this issue can place lawyers engaged in mediation in an impossible position. Either th</w:t>
      </w:r>
      <w:r w:rsidR="002E5340" w:rsidRPr="00B1335B">
        <w:rPr>
          <w:rFonts w:cs="Times New Roman"/>
        </w:rPr>
        <w:t>ey choose to correct a misunderstanding</w:t>
      </w:r>
      <w:r w:rsidR="001D3B93" w:rsidRPr="00B1335B">
        <w:rPr>
          <w:rFonts w:cs="Times New Roman"/>
        </w:rPr>
        <w:t xml:space="preserve"> </w:t>
      </w:r>
      <w:r w:rsidR="0036163F" w:rsidRPr="00B1335B">
        <w:rPr>
          <w:rFonts w:cs="Times New Roman"/>
        </w:rPr>
        <w:t xml:space="preserve">and risk breaching their professional duties to the client, </w:t>
      </w:r>
      <w:r w:rsidR="001D3B93" w:rsidRPr="00B1335B">
        <w:rPr>
          <w:rFonts w:cs="Times New Roman"/>
        </w:rPr>
        <w:t xml:space="preserve">or they elect not to do so </w:t>
      </w:r>
      <w:r w:rsidR="0036163F" w:rsidRPr="00B1335B">
        <w:rPr>
          <w:rFonts w:cs="Times New Roman"/>
        </w:rPr>
        <w:t xml:space="preserve">and risk running </w:t>
      </w:r>
      <w:proofErr w:type="spellStart"/>
      <w:r w:rsidR="0036163F" w:rsidRPr="00B1335B">
        <w:rPr>
          <w:rFonts w:cs="Times New Roman"/>
        </w:rPr>
        <w:t>foul</w:t>
      </w:r>
      <w:proofErr w:type="spellEnd"/>
      <w:r w:rsidR="0036163F" w:rsidRPr="00B1335B">
        <w:rPr>
          <w:rFonts w:cs="Times New Roman"/>
        </w:rPr>
        <w:t xml:space="preserve"> of the</w:t>
      </w:r>
      <w:r w:rsidR="00FF6DB8" w:rsidRPr="00B1335B">
        <w:rPr>
          <w:rFonts w:cs="Times New Roman"/>
        </w:rPr>
        <w:t>ir</w:t>
      </w:r>
      <w:r w:rsidR="0036163F" w:rsidRPr="00B1335B">
        <w:rPr>
          <w:rFonts w:cs="Times New Roman"/>
        </w:rPr>
        <w:t xml:space="preserve"> obligatio</w:t>
      </w:r>
      <w:r w:rsidR="00FF6DB8" w:rsidRPr="00B1335B">
        <w:rPr>
          <w:rFonts w:cs="Times New Roman"/>
        </w:rPr>
        <w:t>ns</w:t>
      </w:r>
      <w:r w:rsidR="00301222" w:rsidRPr="00B1335B">
        <w:rPr>
          <w:rFonts w:cs="Times New Roman"/>
        </w:rPr>
        <w:t xml:space="preserve"> to third parties and </w:t>
      </w:r>
      <w:r w:rsidR="00FF6DB8" w:rsidRPr="00B1335B">
        <w:rPr>
          <w:rFonts w:cs="Times New Roman"/>
        </w:rPr>
        <w:t>potentially j</w:t>
      </w:r>
      <w:r w:rsidR="00301222" w:rsidRPr="00B1335B">
        <w:rPr>
          <w:rFonts w:cs="Times New Roman"/>
        </w:rPr>
        <w:t xml:space="preserve">eopardizing the enforceability of any resulting agreement. </w:t>
      </w:r>
    </w:p>
    <w:p w14:paraId="45D8925C" w14:textId="1ADA6DC9" w:rsidR="001F21EF" w:rsidRPr="00B1335B" w:rsidRDefault="00F86B34" w:rsidP="00622140">
      <w:pPr>
        <w:spacing w:line="240" w:lineRule="auto"/>
        <w:ind w:firstLine="454"/>
        <w:jc w:val="both"/>
        <w:rPr>
          <w:rFonts w:cs="Times New Roman"/>
          <w:i/>
        </w:rPr>
      </w:pPr>
      <w:r w:rsidRPr="00B1335B">
        <w:rPr>
          <w:rFonts w:cs="Times New Roman"/>
        </w:rPr>
        <w:t xml:space="preserve">The </w:t>
      </w:r>
      <w:r w:rsidR="00345149" w:rsidRPr="00B1335B">
        <w:rPr>
          <w:rFonts w:cs="Times New Roman"/>
        </w:rPr>
        <w:t xml:space="preserve">problems </w:t>
      </w:r>
      <w:r w:rsidRPr="00B1335B">
        <w:rPr>
          <w:rFonts w:cs="Times New Roman"/>
        </w:rPr>
        <w:t xml:space="preserve">with applying </w:t>
      </w:r>
      <w:r w:rsidR="00687C78" w:rsidRPr="00B1335B">
        <w:rPr>
          <w:rFonts w:cs="Times New Roman"/>
        </w:rPr>
        <w:t>the omission/ misstatement</w:t>
      </w:r>
      <w:r w:rsidRPr="00B1335B">
        <w:rPr>
          <w:rFonts w:cs="Times New Roman"/>
        </w:rPr>
        <w:t xml:space="preserve"> distinction in practice are well illustrated by the body</w:t>
      </w:r>
      <w:r w:rsidR="00345149" w:rsidRPr="00B1335B">
        <w:rPr>
          <w:rFonts w:cs="Times New Roman"/>
        </w:rPr>
        <w:t xml:space="preserve"> of cases</w:t>
      </w:r>
      <w:r w:rsidR="008318D4" w:rsidRPr="00B1335B">
        <w:rPr>
          <w:rFonts w:cs="Times New Roman"/>
        </w:rPr>
        <w:t xml:space="preserve"> and </w:t>
      </w:r>
      <w:r w:rsidR="00CD6948" w:rsidRPr="00B1335B">
        <w:rPr>
          <w:rFonts w:cs="Times New Roman"/>
        </w:rPr>
        <w:t>ethics</w:t>
      </w:r>
      <w:r w:rsidR="008318D4" w:rsidRPr="00B1335B">
        <w:rPr>
          <w:rFonts w:cs="Times New Roman"/>
        </w:rPr>
        <w:t xml:space="preserve"> opinions</w:t>
      </w:r>
      <w:r w:rsidR="008D2B74" w:rsidRPr="00B1335B">
        <w:rPr>
          <w:rFonts w:cs="Times New Roman"/>
        </w:rPr>
        <w:t xml:space="preserve"> concerning</w:t>
      </w:r>
      <w:r w:rsidR="00345149" w:rsidRPr="00B1335B">
        <w:rPr>
          <w:rFonts w:cs="Times New Roman"/>
        </w:rPr>
        <w:t xml:space="preserve"> failure </w:t>
      </w:r>
      <w:r w:rsidRPr="00B1335B">
        <w:rPr>
          <w:rFonts w:cs="Times New Roman"/>
        </w:rPr>
        <w:t>to disclo</w:t>
      </w:r>
      <w:r w:rsidR="005B3EBC" w:rsidRPr="00B1335B">
        <w:rPr>
          <w:rFonts w:cs="Times New Roman"/>
        </w:rPr>
        <w:t xml:space="preserve">se the death of a client during </w:t>
      </w:r>
      <w:r w:rsidRPr="00B1335B">
        <w:rPr>
          <w:rFonts w:cs="Times New Roman"/>
        </w:rPr>
        <w:t>settlement negotiations.</w:t>
      </w:r>
      <w:r w:rsidR="005B3EBC" w:rsidRPr="00B1335B">
        <w:rPr>
          <w:rFonts w:cs="Times New Roman"/>
        </w:rPr>
        <w:t xml:space="preserve"> In the seminal case of </w:t>
      </w:r>
      <w:proofErr w:type="spellStart"/>
      <w:r w:rsidR="005C7ED9">
        <w:rPr>
          <w:rFonts w:cs="Times New Roman"/>
          <w:i/>
        </w:rPr>
        <w:t>Virzi</w:t>
      </w:r>
      <w:proofErr w:type="spellEnd"/>
      <w:r w:rsidR="007422F4">
        <w:rPr>
          <w:rFonts w:cs="Times New Roman"/>
          <w:i/>
        </w:rPr>
        <w:t xml:space="preserve"> v. </w:t>
      </w:r>
      <w:r w:rsidR="005B3EBC" w:rsidRPr="00B1335B">
        <w:rPr>
          <w:rFonts w:cs="Times New Roman"/>
          <w:i/>
        </w:rPr>
        <w:t>Grand Trunk Warehouse &amp; Cold Storage</w:t>
      </w:r>
      <w:r w:rsidR="00897C14" w:rsidRPr="00B1335B">
        <w:rPr>
          <w:rFonts w:cs="Times New Roman"/>
          <w:i/>
        </w:rPr>
        <w:t xml:space="preserve"> </w:t>
      </w:r>
      <w:r w:rsidR="005B3EBC" w:rsidRPr="00B1335B">
        <w:rPr>
          <w:rFonts w:cs="Times New Roman"/>
          <w:i/>
        </w:rPr>
        <w:t>Co</w:t>
      </w:r>
      <w:r w:rsidR="005B3EBC" w:rsidRPr="00B1335B">
        <w:rPr>
          <w:rFonts w:cs="Times New Roman"/>
        </w:rPr>
        <w:t>,</w:t>
      </w:r>
      <w:r w:rsidR="005B3EBC" w:rsidRPr="00B1335B">
        <w:rPr>
          <w:rStyle w:val="FootnoteReference"/>
          <w:rFonts w:cs="Times New Roman"/>
          <w:i/>
        </w:rPr>
        <w:footnoteReference w:id="30"/>
      </w:r>
      <w:r w:rsidR="00990F20" w:rsidRPr="00B1335B">
        <w:rPr>
          <w:rFonts w:cs="Times New Roman"/>
        </w:rPr>
        <w:t xml:space="preserve"> the District Court for th</w:t>
      </w:r>
      <w:r w:rsidR="00904140" w:rsidRPr="00B1335B">
        <w:rPr>
          <w:rFonts w:cs="Times New Roman"/>
        </w:rPr>
        <w:t>e Eastern District of Michigan</w:t>
      </w:r>
      <w:r w:rsidR="005B3EBC" w:rsidRPr="00B1335B">
        <w:rPr>
          <w:rFonts w:cs="Times New Roman"/>
        </w:rPr>
        <w:t xml:space="preserve"> set aside a settlement agreement because the plaintiff’s attorney </w:t>
      </w:r>
      <w:r w:rsidR="002E0AD7" w:rsidRPr="00B1335B">
        <w:rPr>
          <w:rFonts w:cs="Times New Roman"/>
        </w:rPr>
        <w:t xml:space="preserve">had failed to inform the </w:t>
      </w:r>
      <w:r w:rsidR="002E0AD7" w:rsidRPr="00B1335B">
        <w:rPr>
          <w:rFonts w:cs="Times New Roman"/>
        </w:rPr>
        <w:lastRenderedPageBreak/>
        <w:t xml:space="preserve">court and opposing counsel of the </w:t>
      </w:r>
      <w:r w:rsidR="003C25FD" w:rsidRPr="00B1335B">
        <w:rPr>
          <w:rFonts w:cs="Times New Roman"/>
        </w:rPr>
        <w:t xml:space="preserve">prior </w:t>
      </w:r>
      <w:r w:rsidR="002E0AD7" w:rsidRPr="00B1335B">
        <w:rPr>
          <w:rFonts w:cs="Times New Roman"/>
        </w:rPr>
        <w:t xml:space="preserve">death of his client. </w:t>
      </w:r>
      <w:r w:rsidR="006C2041" w:rsidRPr="00B1335B">
        <w:rPr>
          <w:rFonts w:cs="Times New Roman"/>
        </w:rPr>
        <w:t>T</w:t>
      </w:r>
      <w:r w:rsidR="00904140" w:rsidRPr="00B1335B">
        <w:rPr>
          <w:rFonts w:cs="Times New Roman"/>
        </w:rPr>
        <w:t>he Court considered that the plaintiff’</w:t>
      </w:r>
      <w:r w:rsidR="00973CDE" w:rsidRPr="00B1335B">
        <w:rPr>
          <w:rFonts w:cs="Times New Roman"/>
        </w:rPr>
        <w:t>s lawyer</w:t>
      </w:r>
      <w:r w:rsidR="00904140" w:rsidRPr="00B1335B">
        <w:rPr>
          <w:rFonts w:cs="Times New Roman"/>
        </w:rPr>
        <w:t xml:space="preserve"> had an </w:t>
      </w:r>
      <w:r w:rsidR="00904140" w:rsidRPr="00B1335B">
        <w:rPr>
          <w:rFonts w:cs="Times New Roman"/>
          <w:i/>
        </w:rPr>
        <w:t xml:space="preserve">“absolute ethical duty” </w:t>
      </w:r>
      <w:r w:rsidR="00904140" w:rsidRPr="00B1335B">
        <w:rPr>
          <w:rFonts w:cs="Times New Roman"/>
        </w:rPr>
        <w:t>to disclose the death to opposing counsel</w:t>
      </w:r>
      <w:r w:rsidR="006C2041" w:rsidRPr="00B1335B">
        <w:rPr>
          <w:rFonts w:cs="Times New Roman"/>
        </w:rPr>
        <w:t>, and that this duty applied irrespec</w:t>
      </w:r>
      <w:r w:rsidR="003C25FD" w:rsidRPr="00B1335B">
        <w:rPr>
          <w:rFonts w:cs="Times New Roman"/>
        </w:rPr>
        <w:t>tive of the fact that the lawyer</w:t>
      </w:r>
      <w:r w:rsidR="006C2041" w:rsidRPr="00B1335B">
        <w:rPr>
          <w:rFonts w:cs="Times New Roman"/>
        </w:rPr>
        <w:t xml:space="preserve"> had not </w:t>
      </w:r>
      <w:r w:rsidR="0085175B" w:rsidRPr="00B1335B">
        <w:rPr>
          <w:rFonts w:cs="Times New Roman"/>
        </w:rPr>
        <w:t xml:space="preserve">actually </w:t>
      </w:r>
      <w:r w:rsidR="006C2041" w:rsidRPr="00B1335B">
        <w:rPr>
          <w:rFonts w:cs="Times New Roman"/>
        </w:rPr>
        <w:t>made any</w:t>
      </w:r>
      <w:r w:rsidR="003C25FD" w:rsidRPr="00B1335B">
        <w:rPr>
          <w:rFonts w:cs="Times New Roman"/>
        </w:rPr>
        <w:t xml:space="preserve"> </w:t>
      </w:r>
      <w:r w:rsidR="006C2041" w:rsidRPr="00B1335B">
        <w:rPr>
          <w:rFonts w:cs="Times New Roman"/>
        </w:rPr>
        <w:t>false statement</w:t>
      </w:r>
      <w:r w:rsidR="00DE11C1" w:rsidRPr="00B1335B">
        <w:rPr>
          <w:rFonts w:cs="Times New Roman"/>
        </w:rPr>
        <w:t>s</w:t>
      </w:r>
      <w:r w:rsidR="006C2041" w:rsidRPr="00B1335B">
        <w:rPr>
          <w:rFonts w:cs="Times New Roman"/>
        </w:rPr>
        <w:t>.</w:t>
      </w:r>
      <w:r w:rsidR="00904140" w:rsidRPr="00B1335B">
        <w:rPr>
          <w:rStyle w:val="FootnoteReference"/>
          <w:rFonts w:cs="Times New Roman"/>
        </w:rPr>
        <w:footnoteReference w:id="31"/>
      </w:r>
      <w:r w:rsidR="00904140" w:rsidRPr="00B1335B">
        <w:rPr>
          <w:rFonts w:cs="Times New Roman"/>
        </w:rPr>
        <w:t xml:space="preserve"> </w:t>
      </w:r>
      <w:r w:rsidR="004512D7" w:rsidRPr="00B1335B">
        <w:rPr>
          <w:rFonts w:cs="Times New Roman"/>
        </w:rPr>
        <w:t xml:space="preserve">While the Court noted that, unlike </w:t>
      </w:r>
      <w:r w:rsidR="004512D7" w:rsidRPr="00B1335B">
        <w:rPr>
          <w:rFonts w:cs="Times New Roman"/>
          <w:i/>
        </w:rPr>
        <w:t>Spaulding</w:t>
      </w:r>
      <w:r w:rsidR="004512D7" w:rsidRPr="00B1335B">
        <w:rPr>
          <w:rFonts w:cs="Times New Roman"/>
        </w:rPr>
        <w:t xml:space="preserve">, the plaintiff’s death </w:t>
      </w:r>
      <w:r w:rsidR="004512D7" w:rsidRPr="00B1335B">
        <w:rPr>
          <w:rFonts w:cs="Times New Roman"/>
          <w:i/>
        </w:rPr>
        <w:t xml:space="preserve">“did not have any effect on the </w:t>
      </w:r>
      <w:r w:rsidR="00DE11C1" w:rsidRPr="00B1335B">
        <w:rPr>
          <w:rFonts w:cs="Times New Roman"/>
          <w:i/>
        </w:rPr>
        <w:t>fairness</w:t>
      </w:r>
      <w:r w:rsidR="004512D7" w:rsidRPr="00B1335B">
        <w:rPr>
          <w:rFonts w:cs="Times New Roman"/>
          <w:i/>
        </w:rPr>
        <w:t xml:space="preserve"> of the … mediation award”</w:t>
      </w:r>
      <w:r w:rsidR="00DE11C1" w:rsidRPr="00B1335B">
        <w:rPr>
          <w:rFonts w:cs="Times New Roman"/>
        </w:rPr>
        <w:t xml:space="preserve">, it </w:t>
      </w:r>
      <w:r w:rsidR="004512D7" w:rsidRPr="00B1335B">
        <w:rPr>
          <w:rFonts w:cs="Times New Roman"/>
        </w:rPr>
        <w:t xml:space="preserve">nevertheless had a </w:t>
      </w:r>
      <w:r w:rsidR="004512D7" w:rsidRPr="00B1335B">
        <w:rPr>
          <w:rFonts w:cs="Times New Roman"/>
          <w:i/>
        </w:rPr>
        <w:t xml:space="preserve">“significant bearing” </w:t>
      </w:r>
      <w:r w:rsidR="0085175B" w:rsidRPr="00B1335B">
        <w:rPr>
          <w:rFonts w:cs="Times New Roman"/>
        </w:rPr>
        <w:t xml:space="preserve">on the negotiations </w:t>
      </w:r>
      <w:r w:rsidR="00DE11C1" w:rsidRPr="00B1335B">
        <w:rPr>
          <w:rFonts w:cs="Times New Roman"/>
        </w:rPr>
        <w:t>because the defendant</w:t>
      </w:r>
      <w:r w:rsidR="004512D7" w:rsidRPr="00B1335B">
        <w:rPr>
          <w:rFonts w:cs="Times New Roman"/>
        </w:rPr>
        <w:t>s</w:t>
      </w:r>
      <w:r w:rsidR="00DE11C1" w:rsidRPr="00B1335B">
        <w:rPr>
          <w:rFonts w:cs="Times New Roman"/>
        </w:rPr>
        <w:t>’</w:t>
      </w:r>
      <w:r w:rsidR="004512D7" w:rsidRPr="00B1335B">
        <w:rPr>
          <w:rFonts w:cs="Times New Roman"/>
        </w:rPr>
        <w:t xml:space="preserve"> willingness to s</w:t>
      </w:r>
      <w:r w:rsidR="00DE11C1" w:rsidRPr="00B1335B">
        <w:rPr>
          <w:rFonts w:cs="Times New Roman"/>
        </w:rPr>
        <w:t xml:space="preserve">ettle was in large part due to their belief that the plaintiff would make an excellent witness on his own behalf if the case were to proceed to trial. </w:t>
      </w:r>
    </w:p>
    <w:p w14:paraId="34C53430" w14:textId="08372629" w:rsidR="00250091" w:rsidRPr="00B1335B" w:rsidRDefault="00DE11C1" w:rsidP="00622140">
      <w:pPr>
        <w:spacing w:line="240" w:lineRule="auto"/>
        <w:ind w:firstLine="454"/>
        <w:jc w:val="both"/>
        <w:rPr>
          <w:rFonts w:cs="Times New Roman"/>
        </w:rPr>
      </w:pPr>
      <w:r w:rsidRPr="00B1335B">
        <w:rPr>
          <w:rFonts w:cs="Times New Roman"/>
        </w:rPr>
        <w:t xml:space="preserve">Although the Court in </w:t>
      </w:r>
      <w:proofErr w:type="spellStart"/>
      <w:r w:rsidRPr="00B1335B">
        <w:rPr>
          <w:rFonts w:cs="Times New Roman"/>
          <w:i/>
        </w:rPr>
        <w:t>Virzi</w:t>
      </w:r>
      <w:proofErr w:type="spellEnd"/>
      <w:r w:rsidRPr="00B1335B">
        <w:rPr>
          <w:rFonts w:cs="Times New Roman"/>
          <w:i/>
        </w:rPr>
        <w:t xml:space="preserve"> </w:t>
      </w:r>
      <w:r w:rsidR="00CD59D4" w:rsidRPr="00B1335B">
        <w:rPr>
          <w:rFonts w:cs="Times New Roman"/>
        </w:rPr>
        <w:t xml:space="preserve">purported to base </w:t>
      </w:r>
      <w:r w:rsidRPr="00B1335B">
        <w:rPr>
          <w:rFonts w:cs="Times New Roman"/>
        </w:rPr>
        <w:t>its d</w:t>
      </w:r>
      <w:r w:rsidR="00CD59D4" w:rsidRPr="00B1335B">
        <w:rPr>
          <w:rFonts w:cs="Times New Roman"/>
        </w:rPr>
        <w:t xml:space="preserve">ecision partially on </w:t>
      </w:r>
      <w:r w:rsidRPr="00B1335B">
        <w:rPr>
          <w:rFonts w:cs="Times New Roman"/>
        </w:rPr>
        <w:t>Model Rule</w:t>
      </w:r>
      <w:r w:rsidR="00CD59D4" w:rsidRPr="00B1335B">
        <w:rPr>
          <w:rFonts w:cs="Times New Roman"/>
        </w:rPr>
        <w:t>s 3.3 and</w:t>
      </w:r>
      <w:r w:rsidRPr="00B1335B">
        <w:rPr>
          <w:rFonts w:cs="Times New Roman"/>
        </w:rPr>
        <w:t xml:space="preserve"> 4.1, the Court’s language goes well beyond wha</w:t>
      </w:r>
      <w:r w:rsidR="00CD59D4" w:rsidRPr="00B1335B">
        <w:rPr>
          <w:rFonts w:cs="Times New Roman"/>
        </w:rPr>
        <w:t>t is contemplated by those rules</w:t>
      </w:r>
      <w:r w:rsidRPr="00B1335B">
        <w:rPr>
          <w:rFonts w:cs="Times New Roman"/>
        </w:rPr>
        <w:t>. In particular, the Court explicitly recognized</w:t>
      </w:r>
      <w:r w:rsidR="000669F8">
        <w:rPr>
          <w:rFonts w:cs="Times New Roman"/>
        </w:rPr>
        <w:t xml:space="preserve"> an </w:t>
      </w:r>
      <w:r w:rsidR="000669F8">
        <w:rPr>
          <w:rFonts w:cs="Times New Roman"/>
          <w:i/>
        </w:rPr>
        <w:t xml:space="preserve">“absolute” </w:t>
      </w:r>
      <w:r w:rsidR="000669F8">
        <w:rPr>
          <w:rFonts w:cs="Times New Roman"/>
        </w:rPr>
        <w:t xml:space="preserve">and </w:t>
      </w:r>
      <w:r w:rsidR="000669F8">
        <w:rPr>
          <w:rFonts w:cs="Times New Roman"/>
          <w:i/>
        </w:rPr>
        <w:t xml:space="preserve">“affirmative” </w:t>
      </w:r>
      <w:r w:rsidR="000669F8">
        <w:rPr>
          <w:rFonts w:cs="Times New Roman"/>
        </w:rPr>
        <w:t>duty of candor and frankness</w:t>
      </w:r>
      <w:r w:rsidRPr="00B1335B">
        <w:rPr>
          <w:rFonts w:cs="Times New Roman"/>
          <w:i/>
        </w:rPr>
        <w:t xml:space="preserve"> </w:t>
      </w:r>
      <w:r w:rsidRPr="00B1335B">
        <w:rPr>
          <w:rFonts w:cs="Times New Roman"/>
        </w:rPr>
        <w:t>to opp</w:t>
      </w:r>
      <w:r w:rsidR="0085175B" w:rsidRPr="00B1335B">
        <w:rPr>
          <w:rFonts w:cs="Times New Roman"/>
        </w:rPr>
        <w:t>osing counsel</w:t>
      </w:r>
      <w:r w:rsidRPr="00B1335B">
        <w:rPr>
          <w:rFonts w:cs="Times New Roman"/>
        </w:rPr>
        <w:t>.</w:t>
      </w:r>
      <w:r w:rsidRPr="00B1335B">
        <w:rPr>
          <w:rStyle w:val="FootnoteReference"/>
          <w:rFonts w:cs="Times New Roman"/>
        </w:rPr>
        <w:footnoteReference w:id="32"/>
      </w:r>
      <w:r w:rsidRPr="00B1335B">
        <w:rPr>
          <w:rFonts w:cs="Times New Roman"/>
        </w:rPr>
        <w:t xml:space="preserve"> </w:t>
      </w:r>
      <w:r w:rsidR="00C94323" w:rsidRPr="00B1335B">
        <w:rPr>
          <w:rFonts w:cs="Times New Roman"/>
        </w:rPr>
        <w:t xml:space="preserve">Moreover, the Court </w:t>
      </w:r>
      <w:r w:rsidR="00250091" w:rsidRPr="00B1335B">
        <w:rPr>
          <w:rFonts w:cs="Times New Roman"/>
        </w:rPr>
        <w:t>held</w:t>
      </w:r>
      <w:r w:rsidR="00C94323" w:rsidRPr="00B1335B">
        <w:rPr>
          <w:rFonts w:cs="Times New Roman"/>
        </w:rPr>
        <w:t xml:space="preserve"> that </w:t>
      </w:r>
      <w:r w:rsidR="008B34DE" w:rsidRPr="00B1335B">
        <w:rPr>
          <w:rFonts w:cs="Times New Roman"/>
        </w:rPr>
        <w:t>this duty existed on the same footin</w:t>
      </w:r>
      <w:r w:rsidR="00CD6948" w:rsidRPr="00B1335B">
        <w:rPr>
          <w:rFonts w:cs="Times New Roman"/>
        </w:rPr>
        <w:t>g as the duty of candor to the c</w:t>
      </w:r>
      <w:r w:rsidR="008B34DE" w:rsidRPr="00B1335B">
        <w:rPr>
          <w:rFonts w:cs="Times New Roman"/>
        </w:rPr>
        <w:t>ourt</w:t>
      </w:r>
      <w:r w:rsidR="00173C65" w:rsidRPr="00B1335B">
        <w:rPr>
          <w:rFonts w:cs="Times New Roman"/>
        </w:rPr>
        <w:t>, and that it prevailed over any conflicting demands of zealous advocacy</w:t>
      </w:r>
      <w:r w:rsidR="000669F8">
        <w:rPr>
          <w:rFonts w:cs="Times New Roman"/>
        </w:rPr>
        <w:t>.</w:t>
      </w:r>
      <w:r w:rsidR="00B145DB" w:rsidRPr="00B1335B">
        <w:rPr>
          <w:rStyle w:val="FootnoteReference"/>
          <w:rFonts w:cs="Times New Roman"/>
        </w:rPr>
        <w:footnoteReference w:id="33"/>
      </w:r>
      <w:r w:rsidR="00173C65" w:rsidRPr="00B1335B">
        <w:rPr>
          <w:rFonts w:cs="Times New Roman"/>
        </w:rPr>
        <w:t xml:space="preserve"> </w:t>
      </w:r>
      <w:proofErr w:type="spellStart"/>
      <w:r w:rsidR="002C207F" w:rsidRPr="00B1335B">
        <w:rPr>
          <w:rFonts w:cs="Times New Roman"/>
          <w:i/>
        </w:rPr>
        <w:t>Virzi</w:t>
      </w:r>
      <w:proofErr w:type="spellEnd"/>
      <w:r w:rsidR="002C207F" w:rsidRPr="00B1335B">
        <w:rPr>
          <w:rFonts w:cs="Times New Roman"/>
          <w:i/>
        </w:rPr>
        <w:t xml:space="preserve"> </w:t>
      </w:r>
      <w:r w:rsidR="00C94323" w:rsidRPr="00B1335B">
        <w:rPr>
          <w:rFonts w:cs="Times New Roman"/>
        </w:rPr>
        <w:t>therefore represents</w:t>
      </w:r>
      <w:r w:rsidR="002C207F" w:rsidRPr="00B1335B">
        <w:rPr>
          <w:rFonts w:cs="Times New Roman"/>
        </w:rPr>
        <w:t xml:space="preserve"> a significant</w:t>
      </w:r>
      <w:r w:rsidR="00250091" w:rsidRPr="00B1335B">
        <w:rPr>
          <w:rFonts w:cs="Times New Roman"/>
        </w:rPr>
        <w:t xml:space="preserve"> departure from the approach</w:t>
      </w:r>
      <w:r w:rsidR="0085175B" w:rsidRPr="00B1335B">
        <w:rPr>
          <w:rFonts w:cs="Times New Roman"/>
        </w:rPr>
        <w:t xml:space="preserve"> in </w:t>
      </w:r>
      <w:r w:rsidR="002C207F" w:rsidRPr="00B1335B">
        <w:rPr>
          <w:rFonts w:cs="Times New Roman"/>
          <w:i/>
        </w:rPr>
        <w:t>Spaulding</w:t>
      </w:r>
      <w:r w:rsidR="0085175B" w:rsidRPr="00B1335B">
        <w:rPr>
          <w:rFonts w:cs="Times New Roman"/>
        </w:rPr>
        <w:t>,</w:t>
      </w:r>
      <w:r w:rsidR="008318D4" w:rsidRPr="00B1335B">
        <w:rPr>
          <w:rFonts w:cs="Times New Roman"/>
        </w:rPr>
        <w:t xml:space="preserve"> in which the Court</w:t>
      </w:r>
      <w:r w:rsidR="00CD6948" w:rsidRPr="00B1335B">
        <w:rPr>
          <w:rFonts w:cs="Times New Roman"/>
        </w:rPr>
        <w:t>s</w:t>
      </w:r>
      <w:r w:rsidR="008318D4" w:rsidRPr="00B1335B">
        <w:rPr>
          <w:rFonts w:cs="Times New Roman"/>
        </w:rPr>
        <w:t xml:space="preserve"> drew a</w:t>
      </w:r>
      <w:r w:rsidR="0085175B" w:rsidRPr="00B1335B">
        <w:rPr>
          <w:rFonts w:cs="Times New Roman"/>
        </w:rPr>
        <w:t xml:space="preserve"> </w:t>
      </w:r>
      <w:r w:rsidR="00250091" w:rsidRPr="00B1335B">
        <w:rPr>
          <w:rFonts w:cs="Times New Roman"/>
        </w:rPr>
        <w:t xml:space="preserve">distinction between the duty of candor to the court and the </w:t>
      </w:r>
      <w:r w:rsidR="0085175B" w:rsidRPr="00B1335B">
        <w:rPr>
          <w:rFonts w:cs="Times New Roman"/>
        </w:rPr>
        <w:t xml:space="preserve">far less rigorous </w:t>
      </w:r>
      <w:r w:rsidR="00A961D9">
        <w:rPr>
          <w:rFonts w:cs="Times New Roman"/>
        </w:rPr>
        <w:t>obligations imposed on</w:t>
      </w:r>
      <w:r w:rsidR="00250091" w:rsidRPr="00B1335B">
        <w:rPr>
          <w:rFonts w:cs="Times New Roman"/>
        </w:rPr>
        <w:t xml:space="preserve"> </w:t>
      </w:r>
      <w:r w:rsidR="0085175B" w:rsidRPr="00B1335B">
        <w:rPr>
          <w:rFonts w:cs="Times New Roman"/>
        </w:rPr>
        <w:t>lawyers engaged in</w:t>
      </w:r>
      <w:r w:rsidR="00250091" w:rsidRPr="00B1335B">
        <w:rPr>
          <w:rFonts w:cs="Times New Roman"/>
        </w:rPr>
        <w:t xml:space="preserve"> </w:t>
      </w:r>
      <w:r w:rsidR="00CD6948" w:rsidRPr="00B1335B">
        <w:rPr>
          <w:rFonts w:cs="Times New Roman"/>
        </w:rPr>
        <w:t xml:space="preserve">mediation and </w:t>
      </w:r>
      <w:r w:rsidR="00250091" w:rsidRPr="00B1335B">
        <w:rPr>
          <w:rFonts w:cs="Times New Roman"/>
        </w:rPr>
        <w:t xml:space="preserve">settlement negotiations. </w:t>
      </w:r>
    </w:p>
    <w:p w14:paraId="35515AD9" w14:textId="4C9AB629" w:rsidR="002A14FF" w:rsidRPr="00B1335B" w:rsidRDefault="00CD59D4" w:rsidP="00622140">
      <w:pPr>
        <w:spacing w:line="240" w:lineRule="auto"/>
        <w:ind w:firstLine="454"/>
        <w:jc w:val="both"/>
        <w:rPr>
          <w:rFonts w:cs="Times New Roman"/>
        </w:rPr>
      </w:pPr>
      <w:r w:rsidRPr="00B1335B">
        <w:rPr>
          <w:rFonts w:cs="Times New Roman"/>
        </w:rPr>
        <w:t xml:space="preserve">Since </w:t>
      </w:r>
      <w:proofErr w:type="spellStart"/>
      <w:r w:rsidRPr="00B1335B">
        <w:rPr>
          <w:rFonts w:cs="Times New Roman"/>
          <w:i/>
        </w:rPr>
        <w:t>Virzi</w:t>
      </w:r>
      <w:proofErr w:type="spellEnd"/>
      <w:r w:rsidRPr="00B1335B">
        <w:rPr>
          <w:rFonts w:cs="Times New Roman"/>
          <w:i/>
        </w:rPr>
        <w:t xml:space="preserve">, </w:t>
      </w:r>
      <w:r w:rsidRPr="00B1335B">
        <w:rPr>
          <w:rFonts w:cs="Times New Roman"/>
        </w:rPr>
        <w:t>t</w:t>
      </w:r>
      <w:r w:rsidR="00757CC2" w:rsidRPr="00B1335B">
        <w:rPr>
          <w:rFonts w:cs="Times New Roman"/>
        </w:rPr>
        <w:t>he</w:t>
      </w:r>
      <w:r w:rsidR="008D2B74" w:rsidRPr="00B1335B">
        <w:rPr>
          <w:rFonts w:cs="Times New Roman"/>
        </w:rPr>
        <w:t xml:space="preserve">re have been numerous other </w:t>
      </w:r>
      <w:r w:rsidRPr="00B1335B">
        <w:rPr>
          <w:rFonts w:cs="Times New Roman"/>
        </w:rPr>
        <w:t xml:space="preserve">attempts to explain </w:t>
      </w:r>
      <w:r w:rsidR="008B1B5D" w:rsidRPr="00B1335B">
        <w:rPr>
          <w:rFonts w:cs="Times New Roman"/>
        </w:rPr>
        <w:t>whether, and when, a lawyer will be</w:t>
      </w:r>
      <w:r w:rsidRPr="00B1335B">
        <w:rPr>
          <w:rFonts w:cs="Times New Roman"/>
        </w:rPr>
        <w:t xml:space="preserve"> duty bound to disclose the death of a client</w:t>
      </w:r>
      <w:r w:rsidR="008318D4" w:rsidRPr="00B1335B">
        <w:rPr>
          <w:rFonts w:cs="Times New Roman"/>
        </w:rPr>
        <w:t xml:space="preserve"> to an opposing party</w:t>
      </w:r>
      <w:r w:rsidRPr="00B1335B">
        <w:rPr>
          <w:rFonts w:cs="Times New Roman"/>
        </w:rPr>
        <w:t>.</w:t>
      </w:r>
      <w:r w:rsidR="00757CC2" w:rsidRPr="00B1335B">
        <w:rPr>
          <w:rFonts w:cs="Times New Roman"/>
        </w:rPr>
        <w:t xml:space="preserve"> </w:t>
      </w:r>
      <w:r w:rsidR="0092791F" w:rsidRPr="00B1335B">
        <w:rPr>
          <w:rFonts w:cs="Times New Roman"/>
        </w:rPr>
        <w:t>In a 1995 opinion, t</w:t>
      </w:r>
      <w:r w:rsidR="002D36D2" w:rsidRPr="00B1335B">
        <w:rPr>
          <w:rFonts w:cs="Times New Roman"/>
        </w:rPr>
        <w:t xml:space="preserve">he American Bar Association Committee on </w:t>
      </w:r>
      <w:r w:rsidR="00C63232" w:rsidRPr="00B1335B">
        <w:rPr>
          <w:rFonts w:cs="Times New Roman"/>
        </w:rPr>
        <w:t xml:space="preserve">Ethics and Professional Responsibility </w:t>
      </w:r>
      <w:r w:rsidR="002D36D2" w:rsidRPr="00B1335B">
        <w:rPr>
          <w:rFonts w:cs="Times New Roman"/>
        </w:rPr>
        <w:t xml:space="preserve">expressed the view </w:t>
      </w:r>
      <w:r w:rsidR="0092791F" w:rsidRPr="00B1335B">
        <w:rPr>
          <w:rFonts w:cs="Times New Roman"/>
        </w:rPr>
        <w:t xml:space="preserve">that a lawyer representing the plaintiff in a personal injury claim </w:t>
      </w:r>
      <w:r w:rsidR="00757CC2" w:rsidRPr="00B1335B">
        <w:rPr>
          <w:rFonts w:cs="Times New Roman"/>
          <w:i/>
        </w:rPr>
        <w:t xml:space="preserve">does </w:t>
      </w:r>
      <w:r w:rsidR="00757CC2" w:rsidRPr="00B1335B">
        <w:rPr>
          <w:rFonts w:cs="Times New Roman"/>
        </w:rPr>
        <w:t xml:space="preserve">have </w:t>
      </w:r>
      <w:r w:rsidR="0092791F" w:rsidRPr="00B1335B">
        <w:rPr>
          <w:rFonts w:cs="Times New Roman"/>
        </w:rPr>
        <w:t>a duty to promptly inform opposing counsel and the court of the client’s death.</w:t>
      </w:r>
      <w:r w:rsidRPr="00B1335B">
        <w:rPr>
          <w:rStyle w:val="FootnoteReference"/>
          <w:rFonts w:cs="Times New Roman"/>
        </w:rPr>
        <w:footnoteReference w:id="34"/>
      </w:r>
      <w:r w:rsidR="0092791F" w:rsidRPr="00B1335B">
        <w:rPr>
          <w:rFonts w:cs="Times New Roman"/>
        </w:rPr>
        <w:t xml:space="preserve"> The C</w:t>
      </w:r>
      <w:r w:rsidR="006E3A12" w:rsidRPr="00B1335B">
        <w:rPr>
          <w:rFonts w:cs="Times New Roman"/>
        </w:rPr>
        <w:t xml:space="preserve">ommittee’s conclusion rested in </w:t>
      </w:r>
      <w:r w:rsidR="0092791F" w:rsidRPr="00B1335B">
        <w:rPr>
          <w:rFonts w:cs="Times New Roman"/>
        </w:rPr>
        <w:t>part on the fact that the dea</w:t>
      </w:r>
      <w:r w:rsidR="006E3A12" w:rsidRPr="00B1335B">
        <w:rPr>
          <w:rFonts w:cs="Times New Roman"/>
        </w:rPr>
        <w:t>th of the client will generally</w:t>
      </w:r>
      <w:r w:rsidR="0092791F" w:rsidRPr="00B1335B">
        <w:rPr>
          <w:rFonts w:cs="Times New Roman"/>
        </w:rPr>
        <w:t xml:space="preserve"> terminate the lawyer’s authority to </w:t>
      </w:r>
      <w:r w:rsidR="00757CC2" w:rsidRPr="00B1335B">
        <w:rPr>
          <w:rFonts w:cs="Times New Roman"/>
        </w:rPr>
        <w:t>act</w:t>
      </w:r>
      <w:r w:rsidR="0092791F" w:rsidRPr="00B1335B">
        <w:rPr>
          <w:rFonts w:cs="Times New Roman"/>
        </w:rPr>
        <w:t xml:space="preserve"> –</w:t>
      </w:r>
      <w:r w:rsidR="006E3A12" w:rsidRPr="00B1335B">
        <w:rPr>
          <w:rFonts w:cs="Times New Roman"/>
        </w:rPr>
        <w:t xml:space="preserve"> including</w:t>
      </w:r>
      <w:r w:rsidR="0092791F" w:rsidRPr="00B1335B">
        <w:rPr>
          <w:rFonts w:cs="Times New Roman"/>
        </w:rPr>
        <w:t xml:space="preserve"> </w:t>
      </w:r>
      <w:r w:rsidR="00757CC2" w:rsidRPr="00B1335B">
        <w:rPr>
          <w:rFonts w:cs="Times New Roman"/>
        </w:rPr>
        <w:t>with respect to</w:t>
      </w:r>
      <w:r w:rsidR="0092791F" w:rsidRPr="00B1335B">
        <w:rPr>
          <w:rFonts w:cs="Times New Roman"/>
        </w:rPr>
        <w:t xml:space="preserve"> negotiating or accepting settlement. </w:t>
      </w:r>
      <w:r w:rsidR="00897C14" w:rsidRPr="00B1335B">
        <w:rPr>
          <w:rFonts w:cs="Times New Roman"/>
        </w:rPr>
        <w:t xml:space="preserve">Additionally, the Committee was of the view that, in the absence </w:t>
      </w:r>
      <w:r w:rsidR="00897C14" w:rsidRPr="00B1335B">
        <w:rPr>
          <w:rFonts w:cs="Times New Roman"/>
        </w:rPr>
        <w:lastRenderedPageBreak/>
        <w:t xml:space="preserve">of disclosure, any further communication would implicitly represent that the client was alive, and </w:t>
      </w:r>
      <w:r w:rsidR="00F51CDC" w:rsidRPr="00B1335B">
        <w:rPr>
          <w:rFonts w:cs="Times New Roman"/>
        </w:rPr>
        <w:t xml:space="preserve">would </w:t>
      </w:r>
      <w:r w:rsidR="00897C14" w:rsidRPr="00B1335B">
        <w:rPr>
          <w:rFonts w:cs="Times New Roman"/>
        </w:rPr>
        <w:t xml:space="preserve">therefore </w:t>
      </w:r>
      <w:r w:rsidR="00CD6948" w:rsidRPr="00B1335B">
        <w:rPr>
          <w:rFonts w:cs="Times New Roman"/>
        </w:rPr>
        <w:t xml:space="preserve">contravene </w:t>
      </w:r>
      <w:r w:rsidR="00F51CDC" w:rsidRPr="00B1335B">
        <w:rPr>
          <w:rFonts w:cs="Times New Roman"/>
        </w:rPr>
        <w:t>Model Rule 4.1(a)</w:t>
      </w:r>
      <w:r w:rsidR="00897C14" w:rsidRPr="00B1335B">
        <w:rPr>
          <w:rFonts w:cs="Times New Roman"/>
        </w:rPr>
        <w:t xml:space="preserve"> (the death of a client being a “material fact”)</w:t>
      </w:r>
      <w:r w:rsidR="00F51CDC" w:rsidRPr="00B1335B">
        <w:rPr>
          <w:rFonts w:cs="Times New Roman"/>
        </w:rPr>
        <w:t>.</w:t>
      </w:r>
      <w:r w:rsidR="00F51CDC" w:rsidRPr="00B1335B">
        <w:rPr>
          <w:rStyle w:val="FootnoteReference"/>
          <w:rFonts w:cs="Times New Roman"/>
        </w:rPr>
        <w:footnoteReference w:id="35"/>
      </w:r>
      <w:r w:rsidR="00F51CDC" w:rsidRPr="00B1335B">
        <w:rPr>
          <w:rFonts w:cs="Times New Roman"/>
        </w:rPr>
        <w:t xml:space="preserve">  </w:t>
      </w:r>
      <w:r w:rsidR="0092791F" w:rsidRPr="00B1335B">
        <w:rPr>
          <w:rFonts w:cs="Times New Roman"/>
        </w:rPr>
        <w:t xml:space="preserve">By contrast, the state bar association committees in both Virginia and Pennsylvania </w:t>
      </w:r>
      <w:r w:rsidR="00757CC2" w:rsidRPr="00B1335B">
        <w:rPr>
          <w:rFonts w:cs="Times New Roman"/>
        </w:rPr>
        <w:t>have con</w:t>
      </w:r>
      <w:r w:rsidR="00897C14" w:rsidRPr="00B1335B">
        <w:rPr>
          <w:rFonts w:cs="Times New Roman"/>
        </w:rPr>
        <w:t>cluded that, in the absence of a direct inquir</w:t>
      </w:r>
      <w:r w:rsidR="008318D4" w:rsidRPr="00B1335B">
        <w:rPr>
          <w:rFonts w:cs="Times New Roman"/>
        </w:rPr>
        <w:t>y or prior false statement,</w:t>
      </w:r>
      <w:r w:rsidR="00897C14" w:rsidRPr="00B1335B">
        <w:rPr>
          <w:rFonts w:cs="Times New Roman"/>
        </w:rPr>
        <w:t xml:space="preserve"> a lawyer does not have a duty to disclose the death of his client</w:t>
      </w:r>
      <w:r w:rsidR="00B26620" w:rsidRPr="00B1335B">
        <w:rPr>
          <w:rFonts w:cs="Times New Roman"/>
        </w:rPr>
        <w:t>.</w:t>
      </w:r>
      <w:r w:rsidR="00B26620" w:rsidRPr="00B1335B">
        <w:rPr>
          <w:rStyle w:val="FootnoteReference"/>
          <w:rFonts w:cs="Times New Roman"/>
        </w:rPr>
        <w:footnoteReference w:id="36"/>
      </w:r>
      <w:r w:rsidR="008D2B74" w:rsidRPr="00B1335B">
        <w:rPr>
          <w:rFonts w:cs="Times New Roman"/>
        </w:rPr>
        <w:t xml:space="preserve"> </w:t>
      </w:r>
      <w:r w:rsidR="00456B20" w:rsidRPr="00B1335B">
        <w:rPr>
          <w:rFonts w:cs="Times New Roman"/>
        </w:rPr>
        <w:t>In a further variation</w:t>
      </w:r>
      <w:r w:rsidR="00F50A44" w:rsidRPr="00B1335B">
        <w:rPr>
          <w:rFonts w:cs="Times New Roman"/>
        </w:rPr>
        <w:t>, the Illinois State Bar Association</w:t>
      </w:r>
      <w:r w:rsidR="00456B20" w:rsidRPr="00B1335B">
        <w:rPr>
          <w:rFonts w:cs="Times New Roman"/>
        </w:rPr>
        <w:t xml:space="preserve"> considered </w:t>
      </w:r>
      <w:r w:rsidR="00F50A44" w:rsidRPr="00B1335B">
        <w:rPr>
          <w:rFonts w:cs="Times New Roman"/>
        </w:rPr>
        <w:t xml:space="preserve">that the death of a personal injury claimant must be promptly disclosed, but </w:t>
      </w:r>
      <w:r w:rsidR="00C917BB" w:rsidRPr="00B1335B">
        <w:rPr>
          <w:rFonts w:cs="Times New Roman"/>
        </w:rPr>
        <w:t xml:space="preserve">not the death </w:t>
      </w:r>
      <w:r w:rsidR="008361C9" w:rsidRPr="00B1335B">
        <w:rPr>
          <w:rFonts w:cs="Times New Roman"/>
        </w:rPr>
        <w:t>of</w:t>
      </w:r>
      <w:r w:rsidR="002F2CA8" w:rsidRPr="00B1335B">
        <w:rPr>
          <w:rFonts w:cs="Times New Roman"/>
        </w:rPr>
        <w:t xml:space="preserve"> the sole remaining officer of a corporate client</w:t>
      </w:r>
      <w:r w:rsidR="00C917BB" w:rsidRPr="00B1335B">
        <w:rPr>
          <w:rFonts w:cs="Times New Roman"/>
        </w:rPr>
        <w:t>.</w:t>
      </w:r>
      <w:r w:rsidR="002F2CA8" w:rsidRPr="00B1335B">
        <w:rPr>
          <w:rStyle w:val="FootnoteReference"/>
          <w:rFonts w:cs="Times New Roman"/>
        </w:rPr>
        <w:footnoteReference w:id="37"/>
      </w:r>
      <w:r w:rsidR="00C917BB" w:rsidRPr="00B1335B">
        <w:rPr>
          <w:rFonts w:cs="Times New Roman"/>
        </w:rPr>
        <w:t xml:space="preserve">  </w:t>
      </w:r>
    </w:p>
    <w:p w14:paraId="42693559" w14:textId="7F2EE02D" w:rsidR="00B865C6" w:rsidRPr="00B1335B" w:rsidRDefault="008D2B74" w:rsidP="00622140">
      <w:pPr>
        <w:spacing w:line="240" w:lineRule="auto"/>
        <w:ind w:firstLine="454"/>
        <w:jc w:val="both"/>
        <w:rPr>
          <w:rFonts w:cs="Times New Roman"/>
        </w:rPr>
      </w:pPr>
      <w:r w:rsidRPr="00B1335B">
        <w:rPr>
          <w:rFonts w:cs="Times New Roman"/>
        </w:rPr>
        <w:t>Judicial approaches to the issue have also varied widely</w:t>
      </w:r>
      <w:r w:rsidR="00456B20" w:rsidRPr="00B1335B">
        <w:rPr>
          <w:rFonts w:cs="Times New Roman"/>
        </w:rPr>
        <w:t xml:space="preserve">. Whereas </w:t>
      </w:r>
      <w:r w:rsidR="006A10A4" w:rsidRPr="00B1335B">
        <w:rPr>
          <w:rFonts w:cs="Times New Roman"/>
        </w:rPr>
        <w:t xml:space="preserve">no other decision has gone as far as </w:t>
      </w:r>
      <w:proofErr w:type="spellStart"/>
      <w:r w:rsidR="006A10A4" w:rsidRPr="00B1335B">
        <w:rPr>
          <w:rFonts w:cs="Times New Roman"/>
          <w:i/>
        </w:rPr>
        <w:t>Virzi</w:t>
      </w:r>
      <w:proofErr w:type="spellEnd"/>
      <w:r w:rsidR="006A10A4" w:rsidRPr="00B1335B">
        <w:rPr>
          <w:rFonts w:cs="Times New Roman"/>
          <w:i/>
        </w:rPr>
        <w:t xml:space="preserve"> </w:t>
      </w:r>
      <w:r w:rsidR="006A10A4" w:rsidRPr="00B1335B">
        <w:rPr>
          <w:rFonts w:cs="Times New Roman"/>
        </w:rPr>
        <w:t xml:space="preserve">in </w:t>
      </w:r>
      <w:r w:rsidR="002A14FF" w:rsidRPr="00B1335B">
        <w:rPr>
          <w:rFonts w:cs="Times New Roman"/>
        </w:rPr>
        <w:t>recognizing</w:t>
      </w:r>
      <w:r w:rsidR="006A10A4" w:rsidRPr="00B1335B">
        <w:rPr>
          <w:rFonts w:cs="Times New Roman"/>
        </w:rPr>
        <w:t xml:space="preserve"> an affirmative duty of candor to third parties, other courts have held that failure to disclose the deat</w:t>
      </w:r>
      <w:r w:rsidR="00CB4672" w:rsidRPr="00B1335B">
        <w:rPr>
          <w:rFonts w:cs="Times New Roman"/>
        </w:rPr>
        <w:t xml:space="preserve">h of a client violated </w:t>
      </w:r>
      <w:r w:rsidR="004479B3" w:rsidRPr="00B1335B">
        <w:rPr>
          <w:rFonts w:cs="Times New Roman"/>
        </w:rPr>
        <w:t xml:space="preserve">the requirements of </w:t>
      </w:r>
      <w:r w:rsidR="00CB4672" w:rsidRPr="00B1335B">
        <w:rPr>
          <w:rFonts w:cs="Times New Roman"/>
        </w:rPr>
        <w:t xml:space="preserve">Rule 4.1 </w:t>
      </w:r>
      <w:r w:rsidR="006A10A4" w:rsidRPr="00B1335B">
        <w:rPr>
          <w:rFonts w:cs="Times New Roman"/>
        </w:rPr>
        <w:t xml:space="preserve">because </w:t>
      </w:r>
      <w:r w:rsidR="002B1107" w:rsidRPr="00B1335B">
        <w:rPr>
          <w:rFonts w:cs="Times New Roman"/>
        </w:rPr>
        <w:t xml:space="preserve">the failure amounted to a </w:t>
      </w:r>
      <w:r w:rsidR="006A10A4" w:rsidRPr="00B1335B">
        <w:rPr>
          <w:rFonts w:cs="Times New Roman"/>
        </w:rPr>
        <w:t xml:space="preserve">positive misstatement, or constituted a deliberately misleading </w:t>
      </w:r>
      <w:proofErr w:type="spellStart"/>
      <w:r w:rsidR="006A10A4" w:rsidRPr="00B1335B">
        <w:rPr>
          <w:rFonts w:cs="Times New Roman"/>
        </w:rPr>
        <w:t>half truth</w:t>
      </w:r>
      <w:proofErr w:type="spellEnd"/>
      <w:r w:rsidR="006A10A4" w:rsidRPr="00B1335B">
        <w:rPr>
          <w:rFonts w:cs="Times New Roman"/>
        </w:rPr>
        <w:t>.</w:t>
      </w:r>
      <w:r w:rsidR="008318D4" w:rsidRPr="00B1335B">
        <w:rPr>
          <w:rStyle w:val="FootnoteReference"/>
          <w:rFonts w:cs="Times New Roman"/>
        </w:rPr>
        <w:footnoteReference w:id="38"/>
      </w:r>
      <w:r w:rsidR="00301F36" w:rsidRPr="00B1335B">
        <w:rPr>
          <w:rFonts w:cs="Times New Roman"/>
        </w:rPr>
        <w:t xml:space="preserve"> So, for example, in </w:t>
      </w:r>
      <w:r w:rsidR="00301F36" w:rsidRPr="00B1335B">
        <w:rPr>
          <w:rFonts w:cs="Times New Roman"/>
          <w:i/>
        </w:rPr>
        <w:t>Kentucky Bar Association</w:t>
      </w:r>
      <w:r w:rsidR="007422F4">
        <w:rPr>
          <w:rFonts w:cs="Times New Roman"/>
          <w:i/>
        </w:rPr>
        <w:t xml:space="preserve"> v. </w:t>
      </w:r>
      <w:proofErr w:type="spellStart"/>
      <w:r w:rsidR="00301F36" w:rsidRPr="00B1335B">
        <w:rPr>
          <w:rFonts w:cs="Times New Roman"/>
          <w:i/>
        </w:rPr>
        <w:t>Geisler</w:t>
      </w:r>
      <w:proofErr w:type="spellEnd"/>
      <w:r w:rsidR="00301F36" w:rsidRPr="00B1335B">
        <w:rPr>
          <w:rFonts w:cs="Times New Roman"/>
        </w:rPr>
        <w:t>,</w:t>
      </w:r>
      <w:r w:rsidR="006974B9" w:rsidRPr="00B1335B">
        <w:rPr>
          <w:rStyle w:val="FootnoteReference"/>
          <w:rFonts w:cs="Times New Roman"/>
        </w:rPr>
        <w:footnoteReference w:id="39"/>
      </w:r>
      <w:r w:rsidR="00301F36" w:rsidRPr="00B1335B">
        <w:rPr>
          <w:rFonts w:cs="Times New Roman"/>
        </w:rPr>
        <w:t xml:space="preserve"> the </w:t>
      </w:r>
      <w:r w:rsidR="008318D4" w:rsidRPr="00B1335B">
        <w:rPr>
          <w:rFonts w:cs="Times New Roman"/>
        </w:rPr>
        <w:t>Kentucky Supreme Court</w:t>
      </w:r>
      <w:r w:rsidR="00301F36" w:rsidRPr="00B1335B">
        <w:rPr>
          <w:rFonts w:cs="Times New Roman"/>
        </w:rPr>
        <w:t xml:space="preserve"> held that a lawyer had breached the equi</w:t>
      </w:r>
      <w:r w:rsidR="008318D4" w:rsidRPr="00B1335B">
        <w:rPr>
          <w:rFonts w:cs="Times New Roman"/>
        </w:rPr>
        <w:t>valent of Rule 4.1 where she</w:t>
      </w:r>
      <w:r w:rsidR="00301F36" w:rsidRPr="00B1335B">
        <w:rPr>
          <w:rFonts w:cs="Times New Roman"/>
        </w:rPr>
        <w:t xml:space="preserve"> contacted the defendant’s representative</w:t>
      </w:r>
      <w:r w:rsidR="004479B3" w:rsidRPr="00B1335B">
        <w:rPr>
          <w:rFonts w:cs="Times New Roman"/>
        </w:rPr>
        <w:t>s</w:t>
      </w:r>
      <w:r w:rsidR="00301F36" w:rsidRPr="00B1335B">
        <w:rPr>
          <w:rFonts w:cs="Times New Roman"/>
        </w:rPr>
        <w:t xml:space="preserve"> shortly after her client’s death and invited them to </w:t>
      </w:r>
      <w:r w:rsidR="004479B3" w:rsidRPr="00B1335B">
        <w:rPr>
          <w:rFonts w:cs="Times New Roman"/>
        </w:rPr>
        <w:t xml:space="preserve">engage in settlement </w:t>
      </w:r>
      <w:r w:rsidR="008318D4" w:rsidRPr="00B1335B">
        <w:rPr>
          <w:rFonts w:cs="Times New Roman"/>
        </w:rPr>
        <w:t>negotiations</w:t>
      </w:r>
      <w:r w:rsidR="00301F36" w:rsidRPr="00B1335B">
        <w:rPr>
          <w:rFonts w:cs="Times New Roman"/>
        </w:rPr>
        <w:t>. Although the</w:t>
      </w:r>
      <w:r w:rsidR="008318D4" w:rsidRPr="00B1335B">
        <w:rPr>
          <w:rFonts w:cs="Times New Roman"/>
        </w:rPr>
        <w:t xml:space="preserve"> </w:t>
      </w:r>
      <w:r w:rsidR="00301F36" w:rsidRPr="00B1335B">
        <w:rPr>
          <w:rFonts w:cs="Times New Roman"/>
        </w:rPr>
        <w:t xml:space="preserve">Court purported to follow </w:t>
      </w:r>
      <w:proofErr w:type="spellStart"/>
      <w:r w:rsidR="00301F36" w:rsidRPr="00B1335B">
        <w:rPr>
          <w:rFonts w:cs="Times New Roman"/>
          <w:i/>
        </w:rPr>
        <w:t>Virzi</w:t>
      </w:r>
      <w:proofErr w:type="spellEnd"/>
      <w:r w:rsidR="004479B3" w:rsidRPr="00B1335B">
        <w:rPr>
          <w:rFonts w:cs="Times New Roman"/>
        </w:rPr>
        <w:t xml:space="preserve">, the decision in </w:t>
      </w:r>
      <w:proofErr w:type="spellStart"/>
      <w:r w:rsidR="004479B3" w:rsidRPr="00B1335B">
        <w:rPr>
          <w:rFonts w:cs="Times New Roman"/>
          <w:i/>
        </w:rPr>
        <w:t>Geisler</w:t>
      </w:r>
      <w:proofErr w:type="spellEnd"/>
      <w:r w:rsidR="004479B3" w:rsidRPr="00B1335B">
        <w:rPr>
          <w:rFonts w:cs="Times New Roman"/>
          <w:i/>
        </w:rPr>
        <w:t xml:space="preserve"> </w:t>
      </w:r>
      <w:r w:rsidR="004479B3" w:rsidRPr="00B1335B">
        <w:rPr>
          <w:rFonts w:cs="Times New Roman"/>
        </w:rPr>
        <w:t xml:space="preserve">was in fact </w:t>
      </w:r>
      <w:r w:rsidR="004076C0" w:rsidRPr="00B1335B">
        <w:rPr>
          <w:rFonts w:cs="Times New Roman"/>
        </w:rPr>
        <w:t xml:space="preserve">premised on the rationale that the </w:t>
      </w:r>
      <w:r w:rsidR="00CD6948" w:rsidRPr="00B1335B">
        <w:rPr>
          <w:rFonts w:cs="Times New Roman"/>
        </w:rPr>
        <w:t>lawyer’s actions</w:t>
      </w:r>
      <w:r w:rsidR="004076C0" w:rsidRPr="00B1335B">
        <w:rPr>
          <w:rFonts w:cs="Times New Roman"/>
        </w:rPr>
        <w:t xml:space="preserve"> amounted to an affirmative misrepresentation. B</w:t>
      </w:r>
      <w:r w:rsidR="004479B3" w:rsidRPr="00B1335B">
        <w:rPr>
          <w:rFonts w:cs="Times New Roman"/>
        </w:rPr>
        <w:t>y writing to her opposing</w:t>
      </w:r>
      <w:r w:rsidR="004076C0" w:rsidRPr="00B1335B">
        <w:rPr>
          <w:rFonts w:cs="Times New Roman"/>
        </w:rPr>
        <w:t xml:space="preserve"> counsel, the plaintiff’s lawyer</w:t>
      </w:r>
      <w:r w:rsidR="004479B3" w:rsidRPr="00B1335B">
        <w:rPr>
          <w:rFonts w:cs="Times New Roman"/>
        </w:rPr>
        <w:t xml:space="preserve"> had impliedly represented that she had continuing authority to act on the plaintiff’s behalf</w:t>
      </w:r>
      <w:r w:rsidR="004076C0" w:rsidRPr="00B1335B">
        <w:rPr>
          <w:rFonts w:cs="Times New Roman"/>
        </w:rPr>
        <w:t>, and had thereby violated the equivalent of Rule 4.1(a)</w:t>
      </w:r>
      <w:r w:rsidR="004479B3" w:rsidRPr="00B1335B">
        <w:rPr>
          <w:rFonts w:cs="Times New Roman"/>
        </w:rPr>
        <w:t>.</w:t>
      </w:r>
      <w:r w:rsidR="004479B3" w:rsidRPr="00B1335B">
        <w:rPr>
          <w:rStyle w:val="FootnoteReference"/>
          <w:rFonts w:cs="Times New Roman"/>
        </w:rPr>
        <w:footnoteReference w:id="40"/>
      </w:r>
      <w:r w:rsidR="004479B3" w:rsidRPr="00B1335B">
        <w:rPr>
          <w:rFonts w:cs="Times New Roman"/>
        </w:rPr>
        <w:t xml:space="preserve"> </w:t>
      </w:r>
    </w:p>
    <w:p w14:paraId="7BE55E99" w14:textId="3C26147F" w:rsidR="00AC7547" w:rsidRPr="00B1335B" w:rsidRDefault="004A5C47" w:rsidP="00622140">
      <w:pPr>
        <w:spacing w:line="240" w:lineRule="auto"/>
        <w:ind w:firstLine="454"/>
        <w:jc w:val="both"/>
        <w:rPr>
          <w:rFonts w:cs="Times New Roman"/>
        </w:rPr>
      </w:pPr>
      <w:proofErr w:type="gramStart"/>
      <w:r w:rsidRPr="00B1335B">
        <w:rPr>
          <w:rFonts w:cs="Times New Roman"/>
        </w:rPr>
        <w:t>Although</w:t>
      </w:r>
      <w:r w:rsidR="00D107CD" w:rsidRPr="00B1335B">
        <w:rPr>
          <w:rFonts w:cs="Times New Roman"/>
        </w:rPr>
        <w:t xml:space="preserve"> many observers would no doubt </w:t>
      </w:r>
      <w:r w:rsidR="00456B20" w:rsidRPr="00B1335B">
        <w:rPr>
          <w:rFonts w:cs="Times New Roman"/>
        </w:rPr>
        <w:t>agree that something a</w:t>
      </w:r>
      <w:r w:rsidR="00D107CD" w:rsidRPr="00B1335B">
        <w:rPr>
          <w:rFonts w:cs="Times New Roman"/>
        </w:rPr>
        <w:t>s fundamental</w:t>
      </w:r>
      <w:r w:rsidR="004076C0" w:rsidRPr="00B1335B">
        <w:rPr>
          <w:rFonts w:cs="Times New Roman"/>
        </w:rPr>
        <w:t xml:space="preserve"> as the death of a client</w:t>
      </w:r>
      <w:r w:rsidR="00D107CD" w:rsidRPr="00B1335B">
        <w:rPr>
          <w:rFonts w:cs="Times New Roman"/>
        </w:rPr>
        <w:t xml:space="preserve"> should be disclosed, these </w:t>
      </w:r>
      <w:r w:rsidR="004076C0" w:rsidRPr="00B1335B">
        <w:rPr>
          <w:rFonts w:cs="Times New Roman"/>
        </w:rPr>
        <w:t xml:space="preserve">conflicting </w:t>
      </w:r>
      <w:r w:rsidR="00D107CD" w:rsidRPr="00B1335B">
        <w:rPr>
          <w:rFonts w:cs="Times New Roman"/>
        </w:rPr>
        <w:t>decisions</w:t>
      </w:r>
      <w:r w:rsidR="008318D4" w:rsidRPr="00B1335B">
        <w:rPr>
          <w:rFonts w:cs="Times New Roman"/>
        </w:rPr>
        <w:t xml:space="preserve"> and </w:t>
      </w:r>
      <w:r w:rsidR="004076C0" w:rsidRPr="00B1335B">
        <w:rPr>
          <w:rFonts w:cs="Times New Roman"/>
        </w:rPr>
        <w:t>opinions</w:t>
      </w:r>
      <w:r w:rsidR="00D107CD" w:rsidRPr="00B1335B">
        <w:rPr>
          <w:rFonts w:cs="Times New Roman"/>
        </w:rPr>
        <w:t xml:space="preserve"> demonstrate </w:t>
      </w:r>
      <w:r w:rsidR="00456B20" w:rsidRPr="00B1335B">
        <w:rPr>
          <w:rFonts w:cs="Times New Roman"/>
        </w:rPr>
        <w:t xml:space="preserve">the </w:t>
      </w:r>
      <w:r w:rsidR="00456B20" w:rsidRPr="00B1335B">
        <w:rPr>
          <w:rFonts w:cs="Times New Roman"/>
        </w:rPr>
        <w:lastRenderedPageBreak/>
        <w:t xml:space="preserve">difficultly </w:t>
      </w:r>
      <w:r w:rsidR="00D107CD" w:rsidRPr="00B1335B">
        <w:rPr>
          <w:rFonts w:cs="Times New Roman"/>
        </w:rPr>
        <w:t>of identifying a convincing rationale for that obligation in the text of Model Rule 4.1.</w:t>
      </w:r>
      <w:proofErr w:type="gramEnd"/>
      <w:r w:rsidR="00B865C6" w:rsidRPr="00B1335B">
        <w:rPr>
          <w:rStyle w:val="FootnoteReference"/>
          <w:rFonts w:cs="Times New Roman"/>
        </w:rPr>
        <w:footnoteReference w:id="41"/>
      </w:r>
      <w:r w:rsidR="00D107CD" w:rsidRPr="00B1335B">
        <w:rPr>
          <w:rFonts w:cs="Times New Roman"/>
        </w:rPr>
        <w:t xml:space="preserve"> Despite the valiant efforts of the </w:t>
      </w:r>
      <w:proofErr w:type="spellStart"/>
      <w:r w:rsidR="00D107CD" w:rsidRPr="00B1335B">
        <w:rPr>
          <w:rFonts w:cs="Times New Roman"/>
          <w:i/>
        </w:rPr>
        <w:t>Virzi</w:t>
      </w:r>
      <w:proofErr w:type="spellEnd"/>
      <w:r w:rsidR="00D107CD" w:rsidRPr="00B1335B">
        <w:rPr>
          <w:rFonts w:cs="Times New Roman"/>
          <w:i/>
        </w:rPr>
        <w:t xml:space="preserve"> </w:t>
      </w:r>
      <w:r w:rsidR="00D107CD" w:rsidRPr="00B1335B">
        <w:rPr>
          <w:rFonts w:cs="Times New Roman"/>
        </w:rPr>
        <w:t>Court, there is quite simply nothing in the language</w:t>
      </w:r>
      <w:r w:rsidR="00580E3B" w:rsidRPr="00B1335B">
        <w:rPr>
          <w:rFonts w:cs="Times New Roman"/>
        </w:rPr>
        <w:t xml:space="preserve"> of </w:t>
      </w:r>
      <w:r w:rsidR="00723AF0" w:rsidRPr="00B1335B">
        <w:rPr>
          <w:rFonts w:cs="Times New Roman"/>
        </w:rPr>
        <w:t>Rule 4.1 that</w:t>
      </w:r>
      <w:r w:rsidR="00D107CD" w:rsidRPr="00B1335B">
        <w:rPr>
          <w:rFonts w:cs="Times New Roman"/>
        </w:rPr>
        <w:t xml:space="preserve"> </w:t>
      </w:r>
      <w:r w:rsidRPr="00B1335B">
        <w:rPr>
          <w:rFonts w:cs="Times New Roman"/>
        </w:rPr>
        <w:t xml:space="preserve">amounts to a positive duty of candor to third parties. Instead, lawyers </w:t>
      </w:r>
      <w:r w:rsidR="00CD6948" w:rsidRPr="00B1335B">
        <w:rPr>
          <w:rFonts w:cs="Times New Roman"/>
        </w:rPr>
        <w:t xml:space="preserve">engaged in mediation </w:t>
      </w:r>
      <w:r w:rsidRPr="00B1335B">
        <w:rPr>
          <w:rFonts w:cs="Times New Roman"/>
        </w:rPr>
        <w:t xml:space="preserve">must try to determine </w:t>
      </w:r>
      <w:r w:rsidR="00CD6948" w:rsidRPr="00B1335B">
        <w:rPr>
          <w:rFonts w:cs="Times New Roman"/>
        </w:rPr>
        <w:t>whether</w:t>
      </w:r>
      <w:r w:rsidRPr="00B1335B">
        <w:rPr>
          <w:rFonts w:cs="Times New Roman"/>
        </w:rPr>
        <w:t xml:space="preserve"> any misconception on the part of their opponent </w:t>
      </w:r>
      <w:r w:rsidR="00AC7547" w:rsidRPr="00B1335B">
        <w:rPr>
          <w:rFonts w:cs="Times New Roman"/>
        </w:rPr>
        <w:t xml:space="preserve">or the mediator </w:t>
      </w:r>
      <w:r w:rsidRPr="00B1335B">
        <w:rPr>
          <w:rFonts w:cs="Times New Roman"/>
        </w:rPr>
        <w:t>derives fro</w:t>
      </w:r>
      <w:r w:rsidR="00AC7547" w:rsidRPr="00B1335B">
        <w:rPr>
          <w:rFonts w:cs="Times New Roman"/>
        </w:rPr>
        <w:t>m their own</w:t>
      </w:r>
      <w:r w:rsidRPr="00B1335B">
        <w:rPr>
          <w:rFonts w:cs="Times New Roman"/>
        </w:rPr>
        <w:t xml:space="preserve"> misstatement.</w:t>
      </w:r>
      <w:r w:rsidR="00AC7547" w:rsidRPr="00B1335B">
        <w:rPr>
          <w:rFonts w:cs="Times New Roman"/>
        </w:rPr>
        <w:t xml:space="preserve"> It is only to that extent that the lawyer is obliged to be</w:t>
      </w:r>
      <w:r w:rsidR="002A6644">
        <w:rPr>
          <w:rFonts w:cs="Times New Roman"/>
        </w:rPr>
        <w:t xml:space="preserve"> forthcoming. B</w:t>
      </w:r>
      <w:r w:rsidR="00676C7D" w:rsidRPr="00B1335B">
        <w:rPr>
          <w:rFonts w:cs="Times New Roman"/>
        </w:rPr>
        <w:t>eyond that</w:t>
      </w:r>
      <w:r w:rsidR="002A6644">
        <w:rPr>
          <w:rFonts w:cs="Times New Roman"/>
        </w:rPr>
        <w:t>,</w:t>
      </w:r>
      <w:r w:rsidR="00676C7D" w:rsidRPr="00B1335B">
        <w:rPr>
          <w:rFonts w:cs="Times New Roman"/>
        </w:rPr>
        <w:t xml:space="preserve"> he is prohibited from making any disclosure that would jeopardize confidentiality or otherwise harm his client’s interests.</w:t>
      </w:r>
      <w:r w:rsidR="00AC7547" w:rsidRPr="00B1335B">
        <w:rPr>
          <w:rFonts w:cs="Times New Roman"/>
        </w:rPr>
        <w:t xml:space="preserve">  </w:t>
      </w:r>
      <w:r w:rsidR="00676C7D" w:rsidRPr="00B1335B">
        <w:rPr>
          <w:rFonts w:cs="Times New Roman"/>
        </w:rPr>
        <w:t>Th</w:t>
      </w:r>
      <w:r w:rsidR="00CD6948" w:rsidRPr="00B1335B">
        <w:rPr>
          <w:rFonts w:cs="Times New Roman"/>
        </w:rPr>
        <w:t xml:space="preserve">is delicate calculation is </w:t>
      </w:r>
      <w:r w:rsidR="00676C7D" w:rsidRPr="00B1335B">
        <w:rPr>
          <w:rFonts w:cs="Times New Roman"/>
        </w:rPr>
        <w:t xml:space="preserve">further complicated </w:t>
      </w:r>
      <w:r w:rsidR="00AC7547" w:rsidRPr="00B1335B">
        <w:rPr>
          <w:rFonts w:cs="Times New Roman"/>
        </w:rPr>
        <w:t xml:space="preserve">by the fact that the relevant misstatement may not be express </w:t>
      </w:r>
      <w:proofErr w:type="gramStart"/>
      <w:r w:rsidR="00AC7547" w:rsidRPr="00B1335B">
        <w:rPr>
          <w:rFonts w:cs="Times New Roman"/>
        </w:rPr>
        <w:t>nor</w:t>
      </w:r>
      <w:proofErr w:type="gramEnd"/>
      <w:r w:rsidR="00AC7547" w:rsidRPr="00B1335B">
        <w:rPr>
          <w:rFonts w:cs="Times New Roman"/>
        </w:rPr>
        <w:t xml:space="preserve"> even deliberate. A declaration </w:t>
      </w:r>
      <w:r w:rsidR="00676C7D" w:rsidRPr="00B1335B">
        <w:rPr>
          <w:rFonts w:cs="Times New Roman"/>
        </w:rPr>
        <w:t xml:space="preserve">that is literally true, or </w:t>
      </w:r>
      <w:r w:rsidR="00AC7547" w:rsidRPr="00B1335B">
        <w:rPr>
          <w:rFonts w:cs="Times New Roman"/>
        </w:rPr>
        <w:t>a total omission, may nonetheless amount to a fal</w:t>
      </w:r>
      <w:r w:rsidR="00577B7F" w:rsidRPr="00B1335B">
        <w:rPr>
          <w:rFonts w:cs="Times New Roman"/>
        </w:rPr>
        <w:t>se statement if it implies, including</w:t>
      </w:r>
      <w:r w:rsidR="00AC7547" w:rsidRPr="00B1335B">
        <w:rPr>
          <w:rFonts w:cs="Times New Roman"/>
        </w:rPr>
        <w:t xml:space="preserve"> inadvertently, that the facts are otherwise than the lawyer knows them to be. </w:t>
      </w:r>
    </w:p>
    <w:p w14:paraId="4E0922B1" w14:textId="3F841186" w:rsidR="00580E3B" w:rsidRPr="00B1335B" w:rsidRDefault="00723AF0" w:rsidP="00622140">
      <w:pPr>
        <w:spacing w:line="240" w:lineRule="auto"/>
        <w:ind w:firstLine="454"/>
        <w:jc w:val="both"/>
        <w:rPr>
          <w:rFonts w:cs="Times New Roman"/>
        </w:rPr>
      </w:pPr>
      <w:r w:rsidRPr="00B1335B">
        <w:rPr>
          <w:rFonts w:cs="Times New Roman"/>
        </w:rPr>
        <w:t xml:space="preserve">In practice, of course, it is difficult to conceive of how a lawyer could continue to act </w:t>
      </w:r>
      <w:r w:rsidR="004A5C47" w:rsidRPr="00B1335B">
        <w:rPr>
          <w:rFonts w:cs="Times New Roman"/>
        </w:rPr>
        <w:t xml:space="preserve">for a dead client </w:t>
      </w:r>
      <w:r w:rsidR="00580E3B" w:rsidRPr="00B1335B">
        <w:rPr>
          <w:rFonts w:cs="Times New Roman"/>
        </w:rPr>
        <w:t xml:space="preserve">during settlement negotiations </w:t>
      </w:r>
      <w:r w:rsidRPr="00B1335B">
        <w:rPr>
          <w:rFonts w:cs="Times New Roman"/>
        </w:rPr>
        <w:t>without implicitly or explicitly</w:t>
      </w:r>
      <w:r w:rsidR="0060584C" w:rsidRPr="00B1335B">
        <w:rPr>
          <w:rFonts w:cs="Times New Roman"/>
        </w:rPr>
        <w:t xml:space="preserve"> representing that his client was</w:t>
      </w:r>
      <w:r w:rsidRPr="00B1335B">
        <w:rPr>
          <w:rFonts w:cs="Times New Roman"/>
        </w:rPr>
        <w:t xml:space="preserve"> still alive. </w:t>
      </w:r>
      <w:r w:rsidR="007A636B" w:rsidRPr="00B1335B">
        <w:rPr>
          <w:rFonts w:cs="Times New Roman"/>
        </w:rPr>
        <w:t>If, however, the facts were slightly different, so that the client had instead slipped</w:t>
      </w:r>
      <w:r w:rsidR="00CD6948" w:rsidRPr="00B1335B">
        <w:rPr>
          <w:rFonts w:cs="Times New Roman"/>
        </w:rPr>
        <w:t xml:space="preserve"> into a coma</w:t>
      </w:r>
      <w:r w:rsidR="007A636B" w:rsidRPr="00B1335B">
        <w:rPr>
          <w:rFonts w:cs="Times New Roman"/>
        </w:rPr>
        <w:t xml:space="preserve"> (after gi</w:t>
      </w:r>
      <w:r w:rsidR="004818E2">
        <w:rPr>
          <w:rFonts w:cs="Times New Roman"/>
        </w:rPr>
        <w:t>ving sufficient instructions</w:t>
      </w:r>
      <w:r w:rsidR="007A636B" w:rsidRPr="00B1335B">
        <w:rPr>
          <w:rFonts w:cs="Times New Roman"/>
        </w:rPr>
        <w:t xml:space="preserve">) then a careful lawyer </w:t>
      </w:r>
      <w:r w:rsidR="00215685" w:rsidRPr="00B1335B">
        <w:rPr>
          <w:rFonts w:cs="Times New Roman"/>
        </w:rPr>
        <w:t xml:space="preserve">could proceed to negotiate settlement </w:t>
      </w:r>
      <w:r w:rsidR="0060584C" w:rsidRPr="00B1335B">
        <w:rPr>
          <w:rFonts w:cs="Times New Roman"/>
        </w:rPr>
        <w:t xml:space="preserve">without making any misrepresentations. </w:t>
      </w:r>
      <w:r w:rsidR="00580E3B" w:rsidRPr="00B1335B">
        <w:rPr>
          <w:rFonts w:cs="Times New Roman"/>
        </w:rPr>
        <w:t>Notwithstan</w:t>
      </w:r>
      <w:r w:rsidR="004818E2">
        <w:rPr>
          <w:rFonts w:cs="Times New Roman"/>
        </w:rPr>
        <w:t>ding that the client’s ability</w:t>
      </w:r>
      <w:r w:rsidR="00580E3B" w:rsidRPr="00B1335B">
        <w:rPr>
          <w:rFonts w:cs="Times New Roman"/>
        </w:rPr>
        <w:t xml:space="preserve"> to </w:t>
      </w:r>
      <w:r w:rsidR="004818E2">
        <w:rPr>
          <w:rFonts w:cs="Times New Roman"/>
        </w:rPr>
        <w:t>testify might well be the</w:t>
      </w:r>
      <w:r w:rsidR="00580E3B" w:rsidRPr="00B1335B">
        <w:rPr>
          <w:rFonts w:cs="Times New Roman"/>
        </w:rPr>
        <w:t xml:space="preserve"> determining factor in the </w:t>
      </w:r>
      <w:r w:rsidR="004818E2">
        <w:rPr>
          <w:rFonts w:cs="Times New Roman"/>
        </w:rPr>
        <w:t>opposing</w:t>
      </w:r>
      <w:r w:rsidR="00A961D9">
        <w:rPr>
          <w:rFonts w:cs="Times New Roman"/>
        </w:rPr>
        <w:t xml:space="preserve"> party’s settlement calculation</w:t>
      </w:r>
      <w:r w:rsidR="00580E3B" w:rsidRPr="00B1335B">
        <w:rPr>
          <w:rFonts w:cs="Times New Roman"/>
        </w:rPr>
        <w:t xml:space="preserve">, Rule 4.1 would not require </w:t>
      </w:r>
      <w:r w:rsidR="00F55FB1" w:rsidRPr="00B1335B">
        <w:rPr>
          <w:rFonts w:cs="Times New Roman"/>
        </w:rPr>
        <w:t xml:space="preserve">its </w:t>
      </w:r>
      <w:r w:rsidR="00580E3B" w:rsidRPr="00B1335B">
        <w:rPr>
          <w:rFonts w:cs="Times New Roman"/>
        </w:rPr>
        <w:t>disclosure.</w:t>
      </w:r>
      <w:r w:rsidR="00EE0F6C" w:rsidRPr="00B1335B">
        <w:rPr>
          <w:rStyle w:val="FootnoteReference"/>
          <w:rFonts w:cs="Times New Roman"/>
        </w:rPr>
        <w:footnoteReference w:id="42"/>
      </w:r>
      <w:r w:rsidR="00580E3B" w:rsidRPr="00B1335B">
        <w:rPr>
          <w:rFonts w:cs="Times New Roman"/>
        </w:rPr>
        <w:t xml:space="preserve"> </w:t>
      </w:r>
    </w:p>
    <w:p w14:paraId="530BDB8B" w14:textId="67846D43" w:rsidR="004818E2" w:rsidRDefault="00B263B8" w:rsidP="00622140">
      <w:pPr>
        <w:spacing w:line="240" w:lineRule="auto"/>
        <w:ind w:firstLine="454"/>
        <w:jc w:val="both"/>
        <w:rPr>
          <w:rFonts w:cs="Times New Roman"/>
        </w:rPr>
      </w:pPr>
      <w:r w:rsidRPr="00B1335B">
        <w:rPr>
          <w:rFonts w:cs="Times New Roman"/>
        </w:rPr>
        <w:t>The</w:t>
      </w:r>
      <w:r w:rsidR="003C2828" w:rsidRPr="00B1335B">
        <w:rPr>
          <w:rFonts w:cs="Times New Roman"/>
        </w:rPr>
        <w:t xml:space="preserve"> difficulties with the omission/ misstatement distinction are thus twofold. For individual practitioners, the impossibility of identifying with any </w:t>
      </w:r>
      <w:r w:rsidR="005D6072" w:rsidRPr="00B1335B">
        <w:rPr>
          <w:rFonts w:cs="Times New Roman"/>
        </w:rPr>
        <w:t>certainty</w:t>
      </w:r>
      <w:r w:rsidR="003C2828" w:rsidRPr="00B1335B">
        <w:rPr>
          <w:rFonts w:cs="Times New Roman"/>
        </w:rPr>
        <w:t xml:space="preserve"> the point at which an omission becomes an implied misrepresentation means that even the most diligent lawyer</w:t>
      </w:r>
      <w:r w:rsidR="000669F8">
        <w:rPr>
          <w:rFonts w:cs="Times New Roman"/>
        </w:rPr>
        <w:t>s</w:t>
      </w:r>
      <w:r w:rsidR="003C2828" w:rsidRPr="00B1335B">
        <w:rPr>
          <w:rFonts w:cs="Times New Roman"/>
        </w:rPr>
        <w:t xml:space="preserve"> ca</w:t>
      </w:r>
      <w:r w:rsidR="000669F8">
        <w:rPr>
          <w:rFonts w:cs="Times New Roman"/>
        </w:rPr>
        <w:t>n inadvertently fall foul of their</w:t>
      </w:r>
      <w:r w:rsidR="003C2828" w:rsidRPr="00B1335B">
        <w:rPr>
          <w:rFonts w:cs="Times New Roman"/>
        </w:rPr>
        <w:t xml:space="preserve"> ethical </w:t>
      </w:r>
      <w:r w:rsidR="003C2828" w:rsidRPr="00B1335B">
        <w:rPr>
          <w:rFonts w:cs="Times New Roman"/>
        </w:rPr>
        <w:lastRenderedPageBreak/>
        <w:t>obligations, with potentially</w:t>
      </w:r>
      <w:r w:rsidR="005D6072" w:rsidRPr="00B1335B">
        <w:rPr>
          <w:rFonts w:cs="Times New Roman"/>
        </w:rPr>
        <w:t xml:space="preserve"> s</w:t>
      </w:r>
      <w:r w:rsidR="000669F8">
        <w:rPr>
          <w:rFonts w:cs="Times New Roman"/>
        </w:rPr>
        <w:t>erious consequences for both their</w:t>
      </w:r>
      <w:r w:rsidR="005D6072" w:rsidRPr="00B1335B">
        <w:rPr>
          <w:rFonts w:cs="Times New Roman"/>
        </w:rPr>
        <w:t xml:space="preserve"> professional career and the </w:t>
      </w:r>
      <w:r w:rsidRPr="00B1335B">
        <w:rPr>
          <w:rFonts w:cs="Times New Roman"/>
        </w:rPr>
        <w:t>client</w:t>
      </w:r>
      <w:r w:rsidR="001A1A9F" w:rsidRPr="00B1335B">
        <w:rPr>
          <w:rFonts w:cs="Times New Roman"/>
        </w:rPr>
        <w:t>’s settlement</w:t>
      </w:r>
      <w:r w:rsidR="005D6072" w:rsidRPr="00B1335B">
        <w:rPr>
          <w:rFonts w:cs="Times New Roman"/>
        </w:rPr>
        <w:t xml:space="preserve">. </w:t>
      </w:r>
    </w:p>
    <w:p w14:paraId="2B932847" w14:textId="2830751A" w:rsidR="00B34817" w:rsidRPr="00B1335B" w:rsidRDefault="005D6072" w:rsidP="00622140">
      <w:pPr>
        <w:spacing w:line="240" w:lineRule="auto"/>
        <w:ind w:firstLine="454"/>
        <w:jc w:val="both"/>
        <w:rPr>
          <w:rFonts w:cs="Times New Roman"/>
        </w:rPr>
      </w:pPr>
      <w:r w:rsidRPr="00B1335B">
        <w:rPr>
          <w:rFonts w:cs="Times New Roman"/>
        </w:rPr>
        <w:t>For the profession as a whole, the distinction also raises a more fundamental set of concerns surrounding the role of mediation in the justice system. As I have stated above, mediation is now a centr</w:t>
      </w:r>
      <w:r w:rsidR="001F380A" w:rsidRPr="00B1335B">
        <w:rPr>
          <w:rFonts w:cs="Times New Roman"/>
        </w:rPr>
        <w:t>al feature of dispute resolution</w:t>
      </w:r>
      <w:r w:rsidRPr="00B1335B">
        <w:rPr>
          <w:rFonts w:cs="Times New Roman"/>
        </w:rPr>
        <w:t xml:space="preserve">. </w:t>
      </w:r>
      <w:proofErr w:type="gramStart"/>
      <w:r w:rsidRPr="00B1335B">
        <w:rPr>
          <w:rFonts w:cs="Times New Roman"/>
        </w:rPr>
        <w:t>Many, if not the majority of civil c</w:t>
      </w:r>
      <w:r w:rsidR="001F380A" w:rsidRPr="00B1335B">
        <w:rPr>
          <w:rFonts w:cs="Times New Roman"/>
        </w:rPr>
        <w:t>ases</w:t>
      </w:r>
      <w:r w:rsidRPr="00B1335B">
        <w:rPr>
          <w:rFonts w:cs="Times New Roman"/>
        </w:rPr>
        <w:t xml:space="preserve"> settle without ever reaching the stage of formal adjudication.</w:t>
      </w:r>
      <w:proofErr w:type="gramEnd"/>
      <w:r w:rsidRPr="00B1335B">
        <w:rPr>
          <w:rFonts w:cs="Times New Roman"/>
        </w:rPr>
        <w:t xml:space="preserve"> The imposition of ethical duties on lawyers engaged in mediation therefore has important ramifications </w:t>
      </w:r>
      <w:r w:rsidR="00BE1F6E">
        <w:rPr>
          <w:rFonts w:cs="Times New Roman"/>
        </w:rPr>
        <w:t>for</w:t>
      </w:r>
      <w:r w:rsidRPr="00B1335B">
        <w:rPr>
          <w:rFonts w:cs="Times New Roman"/>
        </w:rPr>
        <w:t xml:space="preserve"> the overall fairness of the justice system. In the absence of </w:t>
      </w:r>
      <w:r w:rsidR="009A538C" w:rsidRPr="00B1335B">
        <w:rPr>
          <w:rFonts w:cs="Times New Roman"/>
        </w:rPr>
        <w:t xml:space="preserve">clear and unambiguous </w:t>
      </w:r>
      <w:r w:rsidR="00BE1F6E">
        <w:rPr>
          <w:rFonts w:cs="Times New Roman"/>
        </w:rPr>
        <w:t>criteria for</w:t>
      </w:r>
      <w:r w:rsidR="000669F8">
        <w:rPr>
          <w:rFonts w:cs="Times New Roman"/>
        </w:rPr>
        <w:t xml:space="preserve"> </w:t>
      </w:r>
      <w:r w:rsidR="009A538C" w:rsidRPr="00B1335B">
        <w:rPr>
          <w:rFonts w:cs="Times New Roman"/>
        </w:rPr>
        <w:t>disclosure</w:t>
      </w:r>
      <w:r w:rsidR="001F380A" w:rsidRPr="00B1335B">
        <w:rPr>
          <w:rFonts w:cs="Times New Roman"/>
        </w:rPr>
        <w:t>, parties in mediation are denied two core safeguards of that system</w:t>
      </w:r>
      <w:r w:rsidR="000669F8">
        <w:rPr>
          <w:rFonts w:cs="Times New Roman"/>
        </w:rPr>
        <w:t xml:space="preserve"> </w:t>
      </w:r>
      <w:r w:rsidR="009A538C" w:rsidRPr="00B1335B">
        <w:rPr>
          <w:rFonts w:cs="Times New Roman"/>
        </w:rPr>
        <w:t>– the right</w:t>
      </w:r>
      <w:r w:rsidR="001F380A" w:rsidRPr="00B1335B">
        <w:rPr>
          <w:rFonts w:cs="Times New Roman"/>
        </w:rPr>
        <w:t xml:space="preserve"> to kno</w:t>
      </w:r>
      <w:r w:rsidR="00BE1F6E">
        <w:rPr>
          <w:rFonts w:cs="Times New Roman"/>
        </w:rPr>
        <w:t>w the case against them, and the</w:t>
      </w:r>
      <w:r w:rsidR="001F380A" w:rsidRPr="00B1335B">
        <w:rPr>
          <w:rFonts w:cs="Times New Roman"/>
        </w:rPr>
        <w:t xml:space="preserve"> </w:t>
      </w:r>
      <w:r w:rsidR="000669F8">
        <w:rPr>
          <w:rFonts w:cs="Times New Roman"/>
        </w:rPr>
        <w:t>assurance that other</w:t>
      </w:r>
      <w:r w:rsidR="00D94418" w:rsidRPr="00B1335B">
        <w:rPr>
          <w:rFonts w:cs="Times New Roman"/>
        </w:rPr>
        <w:t xml:space="preserve"> parties are </w:t>
      </w:r>
      <w:r w:rsidR="00BE1F6E">
        <w:rPr>
          <w:rFonts w:cs="Times New Roman"/>
        </w:rPr>
        <w:t>operating pursuant to the same</w:t>
      </w:r>
      <w:r w:rsidR="00D94418" w:rsidRPr="00B1335B">
        <w:rPr>
          <w:rFonts w:cs="Times New Roman"/>
        </w:rPr>
        <w:t xml:space="preserve"> rules and obligations.</w:t>
      </w:r>
      <w:r w:rsidR="002D340B" w:rsidRPr="00B1335B">
        <w:rPr>
          <w:rFonts w:cs="Times New Roman"/>
        </w:rPr>
        <w:t xml:space="preserve"> </w:t>
      </w:r>
    </w:p>
    <w:p w14:paraId="1E9FEA49" w14:textId="1AB29E0A" w:rsidR="008A0AAC" w:rsidRPr="00B1335B" w:rsidRDefault="00420965" w:rsidP="00622140">
      <w:pPr>
        <w:spacing w:line="240" w:lineRule="auto"/>
        <w:ind w:firstLine="454"/>
        <w:jc w:val="both"/>
        <w:rPr>
          <w:rFonts w:cs="Times New Roman"/>
        </w:rPr>
      </w:pPr>
      <w:r w:rsidRPr="00B1335B">
        <w:rPr>
          <w:rFonts w:cs="Times New Roman"/>
        </w:rPr>
        <w:t xml:space="preserve">This is by no means the first time a commentator has </w:t>
      </w:r>
      <w:r w:rsidR="00CD5CF7" w:rsidRPr="00B1335B">
        <w:rPr>
          <w:rFonts w:cs="Times New Roman"/>
        </w:rPr>
        <w:t>identified problems</w:t>
      </w:r>
      <w:r w:rsidRPr="00B1335B">
        <w:rPr>
          <w:rFonts w:cs="Times New Roman"/>
        </w:rPr>
        <w:t xml:space="preserve"> </w:t>
      </w:r>
      <w:r w:rsidR="00452947" w:rsidRPr="00B1335B">
        <w:rPr>
          <w:rFonts w:cs="Times New Roman"/>
        </w:rPr>
        <w:t>in this area</w:t>
      </w:r>
      <w:r w:rsidRPr="00B1335B">
        <w:rPr>
          <w:rFonts w:cs="Times New Roman"/>
        </w:rPr>
        <w:t xml:space="preserve">. Writing more than 20 years ago, John Cooley concluded that the </w:t>
      </w:r>
      <w:r w:rsidRPr="00B1335B">
        <w:rPr>
          <w:rFonts w:cs="Times New Roman"/>
          <w:i/>
        </w:rPr>
        <w:t xml:space="preserve">Model Rules </w:t>
      </w:r>
      <w:r w:rsidRPr="00B1335B">
        <w:rPr>
          <w:rFonts w:cs="Times New Roman"/>
        </w:rPr>
        <w:t>offered no guidance regarding the acceptable limits of deception in mediation.</w:t>
      </w:r>
      <w:r w:rsidRPr="00B1335B">
        <w:rPr>
          <w:rStyle w:val="FootnoteReference"/>
          <w:rFonts w:cs="Times New Roman"/>
        </w:rPr>
        <w:footnoteReference w:id="43"/>
      </w:r>
      <w:r w:rsidRPr="00B1335B">
        <w:rPr>
          <w:rFonts w:cs="Times New Roman"/>
        </w:rPr>
        <w:t xml:space="preserve"> In a similar vein, James </w:t>
      </w:r>
      <w:proofErr w:type="spellStart"/>
      <w:r w:rsidRPr="00B1335B">
        <w:rPr>
          <w:rFonts w:cs="Times New Roman"/>
        </w:rPr>
        <w:t>Alfini</w:t>
      </w:r>
      <w:proofErr w:type="spellEnd"/>
      <w:r w:rsidRPr="00B1335B">
        <w:rPr>
          <w:rFonts w:cs="Times New Roman"/>
        </w:rPr>
        <w:t xml:space="preserve"> </w:t>
      </w:r>
      <w:r w:rsidR="00CD5CF7" w:rsidRPr="00B1335B">
        <w:rPr>
          <w:rFonts w:cs="Times New Roman"/>
        </w:rPr>
        <w:t>has recognized</w:t>
      </w:r>
      <w:r w:rsidRPr="00B1335B">
        <w:rPr>
          <w:rFonts w:cs="Times New Roman"/>
        </w:rPr>
        <w:t xml:space="preserve"> </w:t>
      </w:r>
      <w:r w:rsidRPr="00B1335B">
        <w:rPr>
          <w:rFonts w:cs="Times New Roman"/>
          <w:i/>
        </w:rPr>
        <w:t>“a compelling need to articulate the ethical constraints on lawyers when they represent clients in ADR settings.”</w:t>
      </w:r>
      <w:r w:rsidRPr="00B1335B">
        <w:rPr>
          <w:rStyle w:val="FootnoteReference"/>
          <w:rFonts w:cs="Times New Roman"/>
          <w:i/>
        </w:rPr>
        <w:footnoteReference w:id="44"/>
      </w:r>
      <w:r w:rsidRPr="00B1335B">
        <w:rPr>
          <w:rFonts w:cs="Times New Roman"/>
        </w:rPr>
        <w:t xml:space="preserve"> Despite this, the </w:t>
      </w:r>
      <w:r w:rsidR="00BE1F6E">
        <w:rPr>
          <w:rFonts w:cs="Times New Roman"/>
        </w:rPr>
        <w:t xml:space="preserve">relevant </w:t>
      </w:r>
      <w:r w:rsidRPr="00B1335B">
        <w:rPr>
          <w:rFonts w:cs="Times New Roman"/>
        </w:rPr>
        <w:t xml:space="preserve">text of the </w:t>
      </w:r>
      <w:r w:rsidRPr="00B1335B">
        <w:rPr>
          <w:rFonts w:cs="Times New Roman"/>
          <w:i/>
        </w:rPr>
        <w:t xml:space="preserve">Model Rules </w:t>
      </w:r>
      <w:r w:rsidR="00A961D9">
        <w:rPr>
          <w:rFonts w:cs="Times New Roman"/>
        </w:rPr>
        <w:t>has remained largely static</w:t>
      </w:r>
      <w:r w:rsidRPr="00B1335B">
        <w:rPr>
          <w:rFonts w:cs="Times New Roman"/>
        </w:rPr>
        <w:t xml:space="preserve"> for decades. While the need for change is now impossible to deny, calls for reform inevitably raise further questions regarding both the extent of the obligations that should be imposed, and the</w:t>
      </w:r>
      <w:r w:rsidR="00CD5CF7" w:rsidRPr="00B1335B">
        <w:rPr>
          <w:rFonts w:cs="Times New Roman"/>
        </w:rPr>
        <w:t xml:space="preserve"> form in</w:t>
      </w:r>
      <w:r w:rsidRPr="00B1335B">
        <w:rPr>
          <w:rFonts w:cs="Times New Roman"/>
        </w:rPr>
        <w:t xml:space="preserve"> which to impose them. To this end, this paper now turns to consider possible avenues for reform of the </w:t>
      </w:r>
      <w:r w:rsidRPr="00B1335B">
        <w:rPr>
          <w:rFonts w:cs="Times New Roman"/>
          <w:i/>
        </w:rPr>
        <w:t>Model Rules</w:t>
      </w:r>
      <w:r w:rsidRPr="00B1335B">
        <w:rPr>
          <w:rFonts w:cs="Times New Roman"/>
        </w:rPr>
        <w:t xml:space="preserve">. </w:t>
      </w:r>
    </w:p>
    <w:p w14:paraId="0977EC57" w14:textId="1D41A828" w:rsidR="004B725F" w:rsidRPr="00B1335B" w:rsidRDefault="00B34817" w:rsidP="000926E0">
      <w:pPr>
        <w:pStyle w:val="Heading1"/>
        <w:spacing w:line="240" w:lineRule="auto"/>
        <w:rPr>
          <w:rFonts w:cs="Times New Roman"/>
        </w:rPr>
      </w:pPr>
      <w:r w:rsidRPr="00B1335B">
        <w:rPr>
          <w:rFonts w:cs="Times New Roman"/>
        </w:rPr>
        <w:t xml:space="preserve">Avenues for Reform </w:t>
      </w:r>
      <w:r w:rsidR="000926E0">
        <w:rPr>
          <w:rFonts w:cs="Times New Roman"/>
        </w:rPr>
        <w:br/>
      </w:r>
    </w:p>
    <w:p w14:paraId="503BC79F" w14:textId="7549FA80" w:rsidR="0090517C" w:rsidRPr="00B1335B" w:rsidRDefault="004B725F" w:rsidP="00622140">
      <w:pPr>
        <w:spacing w:line="240" w:lineRule="auto"/>
        <w:ind w:firstLine="454"/>
        <w:jc w:val="both"/>
        <w:rPr>
          <w:rFonts w:cs="Times New Roman"/>
        </w:rPr>
      </w:pPr>
      <w:r w:rsidRPr="00B1335B">
        <w:rPr>
          <w:rFonts w:cs="Times New Roman"/>
        </w:rPr>
        <w:t>Ostensibly, t</w:t>
      </w:r>
      <w:r w:rsidR="00C145A7" w:rsidRPr="00B1335B">
        <w:rPr>
          <w:rFonts w:cs="Times New Roman"/>
        </w:rPr>
        <w:t xml:space="preserve">he </w:t>
      </w:r>
      <w:r w:rsidR="00C145A7" w:rsidRPr="00B1335B">
        <w:rPr>
          <w:rFonts w:cs="Times New Roman"/>
          <w:i/>
        </w:rPr>
        <w:t xml:space="preserve">Model Rules </w:t>
      </w:r>
      <w:r w:rsidR="00C145A7" w:rsidRPr="00B1335B">
        <w:rPr>
          <w:rFonts w:cs="Times New Roman"/>
        </w:rPr>
        <w:t>serve to define the relationship between lawyers and the legal system.</w:t>
      </w:r>
      <w:r w:rsidRPr="00B1335B">
        <w:rPr>
          <w:rStyle w:val="FootnoteReference"/>
          <w:rFonts w:cs="Times New Roman"/>
        </w:rPr>
        <w:footnoteReference w:id="45"/>
      </w:r>
      <w:r w:rsidR="00CD6948" w:rsidRPr="00B1335B">
        <w:rPr>
          <w:rFonts w:cs="Times New Roman"/>
        </w:rPr>
        <w:t xml:space="preserve"> Yet, as I have described above, </w:t>
      </w:r>
      <w:r w:rsidRPr="00B1335B">
        <w:rPr>
          <w:rFonts w:cs="Times New Roman"/>
        </w:rPr>
        <w:t>in relation to a</w:t>
      </w:r>
      <w:r w:rsidR="00472ED6" w:rsidRPr="00B1335B">
        <w:rPr>
          <w:rFonts w:cs="Times New Roman"/>
        </w:rPr>
        <w:t xml:space="preserve"> central aspect of that system – </w:t>
      </w:r>
      <w:r w:rsidRPr="00B1335B">
        <w:rPr>
          <w:rFonts w:cs="Times New Roman"/>
        </w:rPr>
        <w:t>mediation</w:t>
      </w:r>
      <w:r w:rsidR="00472ED6" w:rsidRPr="00B1335B">
        <w:rPr>
          <w:rFonts w:cs="Times New Roman"/>
        </w:rPr>
        <w:t xml:space="preserve"> – </w:t>
      </w:r>
      <w:r w:rsidRPr="00B1335B">
        <w:rPr>
          <w:rFonts w:cs="Times New Roman"/>
        </w:rPr>
        <w:t>the</w:t>
      </w:r>
      <w:r w:rsidR="00472ED6" w:rsidRPr="00B1335B">
        <w:rPr>
          <w:rFonts w:cs="Times New Roman"/>
        </w:rPr>
        <w:t xml:space="preserve"> </w:t>
      </w:r>
      <w:r w:rsidRPr="00B1335B">
        <w:rPr>
          <w:rFonts w:cs="Times New Roman"/>
        </w:rPr>
        <w:t xml:space="preserve">rules are almost entirely silent. </w:t>
      </w:r>
      <w:r w:rsidR="00CD6948" w:rsidRPr="00B1335B">
        <w:rPr>
          <w:rFonts w:cs="Times New Roman"/>
        </w:rPr>
        <w:t>T</w:t>
      </w:r>
      <w:r w:rsidR="00840255" w:rsidRPr="00B1335B">
        <w:rPr>
          <w:rFonts w:cs="Times New Roman"/>
        </w:rPr>
        <w:t xml:space="preserve">his state of affairs has the </w:t>
      </w:r>
      <w:r w:rsidR="00840255" w:rsidRPr="00B1335B">
        <w:rPr>
          <w:rFonts w:cs="Times New Roman"/>
        </w:rPr>
        <w:lastRenderedPageBreak/>
        <w:t>potential to be</w:t>
      </w:r>
      <w:r w:rsidR="00472ED6" w:rsidRPr="00B1335B">
        <w:rPr>
          <w:rFonts w:cs="Times New Roman"/>
        </w:rPr>
        <w:t xml:space="preserve"> productive of serious injustice. </w:t>
      </w:r>
      <w:r w:rsidR="00CD6948" w:rsidRPr="00B1335B">
        <w:rPr>
          <w:rFonts w:cs="Times New Roman"/>
        </w:rPr>
        <w:t xml:space="preserve">As currently drafted, </w:t>
      </w:r>
      <w:r w:rsidR="00472ED6" w:rsidRPr="00B1335B">
        <w:rPr>
          <w:rFonts w:cs="Times New Roman"/>
        </w:rPr>
        <w:t>Rule 4.1 permits lawyers</w:t>
      </w:r>
      <w:r w:rsidR="00BE1F6E">
        <w:rPr>
          <w:rFonts w:cs="Times New Roman"/>
        </w:rPr>
        <w:t xml:space="preserve"> in mediation</w:t>
      </w:r>
      <w:r w:rsidR="00472ED6" w:rsidRPr="00B1335B">
        <w:rPr>
          <w:rFonts w:cs="Times New Roman"/>
        </w:rPr>
        <w:t xml:space="preserve"> to engage in</w:t>
      </w:r>
      <w:r w:rsidR="003345FE" w:rsidRPr="00B1335B">
        <w:rPr>
          <w:rFonts w:cs="Times New Roman"/>
        </w:rPr>
        <w:t xml:space="preserve"> morally reprehensible conduct, requires them to draw difficult and sometimes impossible distinctions between omissions and implied mis</w:t>
      </w:r>
      <w:r w:rsidR="00767940" w:rsidRPr="00B1335B">
        <w:rPr>
          <w:rFonts w:cs="Times New Roman"/>
        </w:rPr>
        <w:t xml:space="preserve">representations, and denies </w:t>
      </w:r>
      <w:r w:rsidR="003345FE" w:rsidRPr="00B1335B">
        <w:rPr>
          <w:rFonts w:cs="Times New Roman"/>
        </w:rPr>
        <w:t>parties engaged in mediation some of the</w:t>
      </w:r>
      <w:r w:rsidR="00767940" w:rsidRPr="00B1335B">
        <w:rPr>
          <w:rFonts w:cs="Times New Roman"/>
        </w:rPr>
        <w:t xml:space="preserve"> most basic </w:t>
      </w:r>
      <w:r w:rsidR="007819FC">
        <w:rPr>
          <w:rFonts w:cs="Times New Roman"/>
        </w:rPr>
        <w:t>assurances</w:t>
      </w:r>
      <w:r w:rsidR="003345FE" w:rsidRPr="00B1335B">
        <w:rPr>
          <w:rFonts w:cs="Times New Roman"/>
        </w:rPr>
        <w:t xml:space="preserve"> of procedural fairness. </w:t>
      </w:r>
      <w:r w:rsidR="00767940" w:rsidRPr="00B1335B">
        <w:rPr>
          <w:rFonts w:cs="Times New Roman"/>
        </w:rPr>
        <w:t xml:space="preserve">The situation is </w:t>
      </w:r>
      <w:r w:rsidR="00BE1F6E">
        <w:rPr>
          <w:rFonts w:cs="Times New Roman"/>
        </w:rPr>
        <w:t>all the</w:t>
      </w:r>
      <w:r w:rsidR="007819FC">
        <w:rPr>
          <w:rFonts w:cs="Times New Roman"/>
        </w:rPr>
        <w:t xml:space="preserve"> </w:t>
      </w:r>
      <w:r w:rsidR="00767940" w:rsidRPr="00B1335B">
        <w:rPr>
          <w:rFonts w:cs="Times New Roman"/>
        </w:rPr>
        <w:t xml:space="preserve">more striking because it </w:t>
      </w:r>
      <w:r w:rsidR="002A6644">
        <w:rPr>
          <w:rFonts w:cs="Times New Roman"/>
        </w:rPr>
        <w:t xml:space="preserve">stems from an </w:t>
      </w:r>
      <w:r w:rsidR="00BE1F6E">
        <w:rPr>
          <w:rFonts w:cs="Times New Roman"/>
        </w:rPr>
        <w:t>unjustified</w:t>
      </w:r>
      <w:r w:rsidR="00767940" w:rsidRPr="00B1335B">
        <w:rPr>
          <w:rFonts w:cs="Times New Roman"/>
        </w:rPr>
        <w:t xml:space="preserve"> distinction between mediation and other forms of dispute resolution, pursuan</w:t>
      </w:r>
      <w:r w:rsidR="002A6644">
        <w:rPr>
          <w:rFonts w:cs="Times New Roman"/>
        </w:rPr>
        <w:t>t to which mediation is omitted</w:t>
      </w:r>
      <w:r w:rsidR="00767940" w:rsidRPr="00B1335B">
        <w:rPr>
          <w:rFonts w:cs="Times New Roman"/>
        </w:rPr>
        <w:t xml:space="preserve"> from the categories of </w:t>
      </w:r>
      <w:r w:rsidR="00767940" w:rsidRPr="00B1335B">
        <w:rPr>
          <w:rFonts w:cs="Times New Roman"/>
          <w:i/>
        </w:rPr>
        <w:t xml:space="preserve">“tribunal” </w:t>
      </w:r>
      <w:r w:rsidR="00767940" w:rsidRPr="00B1335B">
        <w:rPr>
          <w:rFonts w:cs="Times New Roman"/>
        </w:rPr>
        <w:t>to which lawyers owe a duty of candor.</w:t>
      </w:r>
      <w:r w:rsidR="007437CD" w:rsidRPr="00B1335B">
        <w:rPr>
          <w:rStyle w:val="FootnoteReference"/>
          <w:rFonts w:cs="Times New Roman"/>
        </w:rPr>
        <w:footnoteReference w:id="46"/>
      </w:r>
      <w:r w:rsidR="00767940" w:rsidRPr="00B1335B">
        <w:rPr>
          <w:rFonts w:cs="Times New Roman"/>
        </w:rPr>
        <w:t xml:space="preserve"> </w:t>
      </w:r>
    </w:p>
    <w:p w14:paraId="6DFC4E81" w14:textId="10C0F294" w:rsidR="00285E0F" w:rsidRPr="00B1335B" w:rsidRDefault="0090517C" w:rsidP="00622140">
      <w:pPr>
        <w:spacing w:line="240" w:lineRule="auto"/>
        <w:ind w:firstLine="454"/>
        <w:jc w:val="both"/>
        <w:rPr>
          <w:rFonts w:cs="Times New Roman"/>
        </w:rPr>
      </w:pPr>
      <w:r w:rsidRPr="00B1335B">
        <w:rPr>
          <w:rFonts w:cs="Times New Roman"/>
        </w:rPr>
        <w:t>In light of these manifold problems, it is imperative that the rules regarding lawyer conduct in mediation a</w:t>
      </w:r>
      <w:r w:rsidR="00452947" w:rsidRPr="00B1335B">
        <w:rPr>
          <w:rFonts w:cs="Times New Roman"/>
        </w:rPr>
        <w:t xml:space="preserve">re amended so as to provide </w:t>
      </w:r>
      <w:r w:rsidRPr="00B1335B">
        <w:rPr>
          <w:rFonts w:cs="Times New Roman"/>
        </w:rPr>
        <w:t>robust and unamb</w:t>
      </w:r>
      <w:r w:rsidR="00452947" w:rsidRPr="00B1335B">
        <w:rPr>
          <w:rFonts w:cs="Times New Roman"/>
        </w:rPr>
        <w:t xml:space="preserve">iguous professional </w:t>
      </w:r>
      <w:r w:rsidRPr="00B1335B">
        <w:rPr>
          <w:rFonts w:cs="Times New Roman"/>
        </w:rPr>
        <w:t xml:space="preserve">standards. </w:t>
      </w:r>
      <w:r w:rsidR="00856004" w:rsidRPr="00B1335B">
        <w:rPr>
          <w:rFonts w:cs="Times New Roman"/>
        </w:rPr>
        <w:t>A</w:t>
      </w:r>
      <w:r w:rsidRPr="00B1335B">
        <w:rPr>
          <w:rFonts w:cs="Times New Roman"/>
        </w:rPr>
        <w:t xml:space="preserve">t a minimum, </w:t>
      </w:r>
      <w:r w:rsidR="00856004" w:rsidRPr="00B1335B">
        <w:rPr>
          <w:rFonts w:cs="Times New Roman"/>
        </w:rPr>
        <w:t xml:space="preserve">the rules should </w:t>
      </w:r>
      <w:r w:rsidRPr="00B1335B">
        <w:rPr>
          <w:rFonts w:cs="Times New Roman"/>
        </w:rPr>
        <w:t>ensure that parties who elect to settle their disputes via mediation rather than adjudication are not substantively or procedurally disadva</w:t>
      </w:r>
      <w:r w:rsidR="00856004" w:rsidRPr="00B1335B">
        <w:rPr>
          <w:rFonts w:cs="Times New Roman"/>
        </w:rPr>
        <w:t xml:space="preserve">ntaged, and that the integrity of the civil justice system is not undermined. </w:t>
      </w:r>
      <w:r w:rsidR="00695D42" w:rsidRPr="00B1335B">
        <w:rPr>
          <w:rFonts w:cs="Times New Roman"/>
        </w:rPr>
        <w:t xml:space="preserve">To this end, lawyers engaged in mediation should be held to the </w:t>
      </w:r>
      <w:r w:rsidR="00856004" w:rsidRPr="00B1335B">
        <w:rPr>
          <w:rFonts w:cs="Times New Roman"/>
        </w:rPr>
        <w:t xml:space="preserve">same obligations of honesty and candor that exist in adjudicative proceedings. Such a development would ensure that </w:t>
      </w:r>
      <w:r w:rsidR="00695D42" w:rsidRPr="00B1335B">
        <w:rPr>
          <w:rFonts w:cs="Times New Roman"/>
        </w:rPr>
        <w:t>lawyers are duty-bound to disclose information (whether of fact or law) that is crucial to the just resolution of proceedings. Moreover, it would relieve practitioners engaged in mediation of the need to contend with the distinctions between “material” and “immaterial” facts, or “misstatements</w:t>
      </w:r>
      <w:r w:rsidR="00795B23" w:rsidRPr="00B1335B">
        <w:rPr>
          <w:rFonts w:cs="Times New Roman"/>
        </w:rPr>
        <w:t xml:space="preserve">” and “omissions”, and appropriately recognize </w:t>
      </w:r>
      <w:r w:rsidR="00CD5CF7" w:rsidRPr="00B1335B">
        <w:rPr>
          <w:rFonts w:cs="Times New Roman"/>
        </w:rPr>
        <w:t xml:space="preserve">the central role that </w:t>
      </w:r>
      <w:r w:rsidR="00795B23" w:rsidRPr="00B1335B">
        <w:rPr>
          <w:rFonts w:cs="Times New Roman"/>
        </w:rPr>
        <w:t>mediation</w:t>
      </w:r>
      <w:r w:rsidR="00CD5CF7" w:rsidRPr="00B1335B">
        <w:rPr>
          <w:rFonts w:cs="Times New Roman"/>
        </w:rPr>
        <w:t xml:space="preserve"> plays</w:t>
      </w:r>
      <w:r w:rsidR="00795B23" w:rsidRPr="00B1335B">
        <w:rPr>
          <w:rFonts w:cs="Times New Roman"/>
        </w:rPr>
        <w:t xml:space="preserve"> in the </w:t>
      </w:r>
      <w:r w:rsidR="00CD5CF7" w:rsidRPr="00B1335B">
        <w:rPr>
          <w:rFonts w:cs="Times New Roman"/>
        </w:rPr>
        <w:t>justice system</w:t>
      </w:r>
      <w:r w:rsidR="00795B23" w:rsidRPr="00B1335B">
        <w:rPr>
          <w:rFonts w:cs="Times New Roman"/>
        </w:rPr>
        <w:t xml:space="preserve">. </w:t>
      </w:r>
      <w:r w:rsidRPr="00B1335B">
        <w:rPr>
          <w:rFonts w:cs="Times New Roman"/>
        </w:rPr>
        <w:t xml:space="preserve"> </w:t>
      </w:r>
    </w:p>
    <w:p w14:paraId="69C56456" w14:textId="226DE1BB" w:rsidR="00A77B1A" w:rsidRPr="00B1335B" w:rsidRDefault="00CD5CF7" w:rsidP="00622140">
      <w:pPr>
        <w:spacing w:line="240" w:lineRule="auto"/>
        <w:ind w:firstLine="454"/>
        <w:jc w:val="both"/>
        <w:rPr>
          <w:rFonts w:cs="Times New Roman"/>
        </w:rPr>
      </w:pPr>
      <w:r w:rsidRPr="00B1335B">
        <w:rPr>
          <w:rFonts w:cs="Times New Roman"/>
        </w:rPr>
        <w:t>Against this, some</w:t>
      </w:r>
      <w:r w:rsidR="001E7B78" w:rsidRPr="00B1335B">
        <w:rPr>
          <w:rFonts w:cs="Times New Roman"/>
        </w:rPr>
        <w:t xml:space="preserve"> commentators have argued that a duty of candor </w:t>
      </w:r>
      <w:r w:rsidRPr="00B1335B">
        <w:rPr>
          <w:rFonts w:cs="Times New Roman"/>
        </w:rPr>
        <w:t xml:space="preserve">in mediation </w:t>
      </w:r>
      <w:r w:rsidR="001E7B78" w:rsidRPr="00B1335B">
        <w:rPr>
          <w:rFonts w:cs="Times New Roman"/>
        </w:rPr>
        <w:t xml:space="preserve">would be </w:t>
      </w:r>
      <w:r w:rsidR="005C7365" w:rsidRPr="00B1335B">
        <w:rPr>
          <w:rFonts w:cs="Times New Roman"/>
        </w:rPr>
        <w:t xml:space="preserve">either </w:t>
      </w:r>
      <w:r w:rsidR="001E7B78" w:rsidRPr="00B1335B">
        <w:rPr>
          <w:rFonts w:cs="Times New Roman"/>
        </w:rPr>
        <w:t xml:space="preserve">incompatible with the adversarial nature of settlement </w:t>
      </w:r>
      <w:r w:rsidR="005C7365" w:rsidRPr="00B1335B">
        <w:rPr>
          <w:rFonts w:cs="Times New Roman"/>
        </w:rPr>
        <w:t>negotiations</w:t>
      </w:r>
      <w:r w:rsidR="001E7B78" w:rsidRPr="00B1335B">
        <w:rPr>
          <w:rFonts w:cs="Times New Roman"/>
        </w:rPr>
        <w:t xml:space="preserve">, </w:t>
      </w:r>
      <w:r w:rsidR="005C7365" w:rsidRPr="00B1335B">
        <w:rPr>
          <w:rFonts w:cs="Times New Roman"/>
        </w:rPr>
        <w:t>or overly subjective and impossible to police.</w:t>
      </w:r>
      <w:r w:rsidR="005C7365" w:rsidRPr="00B1335B">
        <w:rPr>
          <w:rStyle w:val="FootnoteReference"/>
          <w:rFonts w:cs="Times New Roman"/>
        </w:rPr>
        <w:footnoteReference w:id="47"/>
      </w:r>
      <w:r w:rsidR="008857D9" w:rsidRPr="00B1335B">
        <w:rPr>
          <w:rFonts w:cs="Times New Roman"/>
        </w:rPr>
        <w:t xml:space="preserve"> </w:t>
      </w:r>
      <w:r w:rsidR="00DB0CDC" w:rsidRPr="00B1335B">
        <w:rPr>
          <w:rFonts w:cs="Times New Roman"/>
        </w:rPr>
        <w:t>At least one observer has</w:t>
      </w:r>
      <w:r w:rsidR="008857D9" w:rsidRPr="00B1335B">
        <w:rPr>
          <w:rFonts w:cs="Times New Roman"/>
        </w:rPr>
        <w:t xml:space="preserve"> gone so far as to suggest that lying is an inherent part of the negotiation process, such that lawyers engaged in negotiations (including through mediation) should be </w:t>
      </w:r>
      <w:r w:rsidRPr="00B1335B">
        <w:rPr>
          <w:rFonts w:cs="Times New Roman"/>
        </w:rPr>
        <w:t xml:space="preserve">wholly exempt from </w:t>
      </w:r>
      <w:r w:rsidR="001411CB" w:rsidRPr="00B1335B">
        <w:rPr>
          <w:rFonts w:cs="Times New Roman"/>
        </w:rPr>
        <w:t>duties</w:t>
      </w:r>
      <w:r w:rsidR="008857D9" w:rsidRPr="00B1335B">
        <w:rPr>
          <w:rFonts w:cs="Times New Roman"/>
        </w:rPr>
        <w:t xml:space="preserve"> of honesty or disclosure.</w:t>
      </w:r>
      <w:r w:rsidR="008857D9" w:rsidRPr="00B1335B">
        <w:rPr>
          <w:rStyle w:val="FootnoteReference"/>
          <w:rFonts w:cs="Times New Roman"/>
        </w:rPr>
        <w:footnoteReference w:id="48"/>
      </w:r>
      <w:r w:rsidR="009045E7" w:rsidRPr="00B1335B">
        <w:rPr>
          <w:rFonts w:cs="Times New Roman"/>
        </w:rPr>
        <w:t xml:space="preserve"> </w:t>
      </w:r>
      <w:r w:rsidR="00DB0CDC" w:rsidRPr="00B1335B">
        <w:rPr>
          <w:rFonts w:cs="Times New Roman"/>
        </w:rPr>
        <w:t xml:space="preserve">Another has expressed the view that a duty of candor </w:t>
      </w:r>
      <w:r w:rsidR="00DB0CDC" w:rsidRPr="00B1335B">
        <w:rPr>
          <w:rFonts w:cs="Times New Roman"/>
        </w:rPr>
        <w:lastRenderedPageBreak/>
        <w:t>might well confer an unfair advantage on those least deserving of it – unscrupulous lawyers who would continue to lie and obfuscate irrespective o</w:t>
      </w:r>
      <w:r w:rsidR="00A77B1A" w:rsidRPr="00B1335B">
        <w:rPr>
          <w:rFonts w:cs="Times New Roman"/>
        </w:rPr>
        <w:t>f heightened professional standards</w:t>
      </w:r>
      <w:r w:rsidR="00DB0CDC" w:rsidRPr="00B1335B">
        <w:rPr>
          <w:rFonts w:cs="Times New Roman"/>
        </w:rPr>
        <w:t>.</w:t>
      </w:r>
      <w:r w:rsidR="00A77B1A" w:rsidRPr="00B1335B">
        <w:rPr>
          <w:rStyle w:val="FootnoteReference"/>
          <w:rFonts w:cs="Times New Roman"/>
        </w:rPr>
        <w:footnoteReference w:id="49"/>
      </w:r>
      <w:r w:rsidR="00DB0CDC" w:rsidRPr="00B1335B">
        <w:rPr>
          <w:rFonts w:cs="Times New Roman"/>
        </w:rPr>
        <w:t xml:space="preserve"> </w:t>
      </w:r>
    </w:p>
    <w:p w14:paraId="6E64D06F" w14:textId="78C81FD7" w:rsidR="00A0357B" w:rsidRPr="00B1335B" w:rsidRDefault="003767A7" w:rsidP="00622140">
      <w:pPr>
        <w:spacing w:line="240" w:lineRule="auto"/>
        <w:ind w:firstLine="454"/>
        <w:jc w:val="both"/>
        <w:rPr>
          <w:rFonts w:cs="Times New Roman"/>
        </w:rPr>
      </w:pPr>
      <w:r w:rsidRPr="00B1335B">
        <w:rPr>
          <w:rFonts w:cs="Times New Roman"/>
        </w:rPr>
        <w:t>These arguments</w:t>
      </w:r>
      <w:r w:rsidR="003A456B" w:rsidRPr="00B1335B">
        <w:rPr>
          <w:rFonts w:cs="Times New Roman"/>
        </w:rPr>
        <w:t xml:space="preserve"> are unconvincing. While it is true that mediation may be (although is not necessarily) adversarial, so too are court proceedings. Yet, as I have explained above, the </w:t>
      </w:r>
      <w:r w:rsidR="003A456B" w:rsidRPr="00B1335B">
        <w:rPr>
          <w:rFonts w:cs="Times New Roman"/>
          <w:i/>
        </w:rPr>
        <w:t xml:space="preserve">Model Rules </w:t>
      </w:r>
      <w:r w:rsidR="003A456B" w:rsidRPr="00B1335B">
        <w:rPr>
          <w:rFonts w:cs="Times New Roman"/>
        </w:rPr>
        <w:t xml:space="preserve">expressly recognize a duty of candor to courts and other adjudicative tribunals. In so doing, the rules reinforce the overarching duty of lawyers to the administration of justice. </w:t>
      </w:r>
      <w:r w:rsidR="0048135E" w:rsidRPr="00B1335B">
        <w:rPr>
          <w:rFonts w:cs="Times New Roman"/>
        </w:rPr>
        <w:t>That duty does not cease</w:t>
      </w:r>
      <w:r w:rsidR="003A456B" w:rsidRPr="00B1335B">
        <w:rPr>
          <w:rFonts w:cs="Times New Roman"/>
        </w:rPr>
        <w:t xml:space="preserve"> to exist merely because a lawyer is engaged in adversarial proceedings</w:t>
      </w:r>
      <w:r w:rsidR="006C3B90" w:rsidRPr="00B1335B">
        <w:rPr>
          <w:rFonts w:cs="Times New Roman"/>
        </w:rPr>
        <w:t>. A</w:t>
      </w:r>
      <w:r w:rsidR="0048135E" w:rsidRPr="00B1335B">
        <w:rPr>
          <w:rFonts w:cs="Times New Roman"/>
        </w:rPr>
        <w:t xml:space="preserve"> lawyer’s role is not to “win at all costs” but to diligently defend his client’s interests </w:t>
      </w:r>
      <w:r w:rsidR="006C3B90" w:rsidRPr="00B1335B">
        <w:rPr>
          <w:rFonts w:cs="Times New Roman"/>
        </w:rPr>
        <w:t xml:space="preserve">within the parameters of his obligations to the justice system and the public at large. </w:t>
      </w:r>
    </w:p>
    <w:p w14:paraId="6ECF43C1" w14:textId="45197187" w:rsidR="00854FEF" w:rsidRPr="00B1335B" w:rsidRDefault="006C3B90" w:rsidP="00622140">
      <w:pPr>
        <w:spacing w:line="240" w:lineRule="auto"/>
        <w:ind w:firstLine="454"/>
        <w:jc w:val="both"/>
        <w:rPr>
          <w:rFonts w:cs="Times New Roman"/>
        </w:rPr>
      </w:pPr>
      <w:r w:rsidRPr="00B1335B">
        <w:rPr>
          <w:rFonts w:cs="Times New Roman"/>
        </w:rPr>
        <w:t>Similarly, the fact that a duty of candor might be difficult to enforce does not provide any rationale for distinguishing in this regard between mediation and other forms of dispute resolution.</w:t>
      </w:r>
      <w:r w:rsidR="003F755F" w:rsidRPr="00B1335B">
        <w:rPr>
          <w:rFonts w:cs="Times New Roman"/>
        </w:rPr>
        <w:t xml:space="preserve"> </w:t>
      </w:r>
      <w:r w:rsidRPr="00B1335B">
        <w:rPr>
          <w:rFonts w:cs="Times New Roman"/>
        </w:rPr>
        <w:t>More fundamentally, such arguments also misconceive the nature of professional standards, which are directed in the first i</w:t>
      </w:r>
      <w:r w:rsidR="004E7E0F" w:rsidRPr="00B1335B">
        <w:rPr>
          <w:rFonts w:cs="Times New Roman"/>
        </w:rPr>
        <w:t>nstance to providing a framework for the ethical practice of law, rather than</w:t>
      </w:r>
      <w:r w:rsidR="00C130C5" w:rsidRPr="00B1335B">
        <w:rPr>
          <w:rFonts w:cs="Times New Roman"/>
        </w:rPr>
        <w:t xml:space="preserve"> a set of punitive regulations. Public confidence in the legal profession requires that lawyers are</w:t>
      </w:r>
      <w:r w:rsidR="005C7CFF" w:rsidRPr="00B1335B">
        <w:rPr>
          <w:rFonts w:cs="Times New Roman"/>
        </w:rPr>
        <w:t xml:space="preserve"> – </w:t>
      </w:r>
      <w:r w:rsidR="00C130C5" w:rsidRPr="00B1335B">
        <w:rPr>
          <w:rFonts w:cs="Times New Roman"/>
        </w:rPr>
        <w:t>and</w:t>
      </w:r>
      <w:r w:rsidR="005C7CFF" w:rsidRPr="00B1335B">
        <w:rPr>
          <w:rFonts w:cs="Times New Roman"/>
        </w:rPr>
        <w:t xml:space="preserve"> </w:t>
      </w:r>
      <w:r w:rsidR="00C130C5" w:rsidRPr="00B1335B">
        <w:rPr>
          <w:rFonts w:cs="Times New Roman"/>
        </w:rPr>
        <w:t>are seen to be</w:t>
      </w:r>
      <w:r w:rsidR="005C7CFF" w:rsidRPr="00B1335B">
        <w:rPr>
          <w:rFonts w:cs="Times New Roman"/>
        </w:rPr>
        <w:t xml:space="preserve"> – held </w:t>
      </w:r>
      <w:r w:rsidR="00C130C5" w:rsidRPr="00B1335B">
        <w:rPr>
          <w:rFonts w:cs="Times New Roman"/>
        </w:rPr>
        <w:t xml:space="preserve">to high standards of ethical behavior. The mere fact that some unscrupulous individuals might choose to deliberately flout those standards does not mean </w:t>
      </w:r>
      <w:r w:rsidR="00A961D9">
        <w:rPr>
          <w:rFonts w:cs="Times New Roman"/>
        </w:rPr>
        <w:t>they</w:t>
      </w:r>
      <w:r w:rsidR="00E5012A" w:rsidRPr="00B1335B">
        <w:rPr>
          <w:rFonts w:cs="Times New Roman"/>
        </w:rPr>
        <w:t xml:space="preserve"> should not exist</w:t>
      </w:r>
      <w:r w:rsidR="00C130C5" w:rsidRPr="00B1335B">
        <w:rPr>
          <w:rFonts w:cs="Times New Roman"/>
        </w:rPr>
        <w:t xml:space="preserve">. </w:t>
      </w:r>
      <w:r w:rsidR="00A0357B" w:rsidRPr="00B1335B">
        <w:rPr>
          <w:rFonts w:cs="Times New Roman"/>
        </w:rPr>
        <w:t xml:space="preserve">On the contrary, </w:t>
      </w:r>
      <w:r w:rsidR="00E5012A" w:rsidRPr="00B1335B">
        <w:rPr>
          <w:rFonts w:cs="Times New Roman"/>
        </w:rPr>
        <w:t>the need to weed such persons out of the profession provides further justification for the adoption and enforcement (where possi</w:t>
      </w:r>
      <w:r w:rsidR="00BE1F6E">
        <w:rPr>
          <w:rFonts w:cs="Times New Roman"/>
        </w:rPr>
        <w:t>ble) of robust professional rules and guidelines</w:t>
      </w:r>
      <w:r w:rsidR="00E5012A" w:rsidRPr="00B1335B">
        <w:rPr>
          <w:rFonts w:cs="Times New Roman"/>
        </w:rPr>
        <w:t xml:space="preserve">. </w:t>
      </w:r>
    </w:p>
    <w:p w14:paraId="2CB843D3" w14:textId="652F7171" w:rsidR="002F425D" w:rsidRPr="00B1335B" w:rsidRDefault="00A961D9" w:rsidP="00622140">
      <w:pPr>
        <w:spacing w:line="240" w:lineRule="auto"/>
        <w:ind w:firstLine="454"/>
        <w:jc w:val="both"/>
        <w:rPr>
          <w:rFonts w:cs="Times New Roman"/>
        </w:rPr>
      </w:pPr>
      <w:r>
        <w:rPr>
          <w:rFonts w:cs="Times New Roman"/>
        </w:rPr>
        <w:t>Given the clear</w:t>
      </w:r>
      <w:r w:rsidR="0075238C" w:rsidRPr="00B1335B">
        <w:rPr>
          <w:rFonts w:cs="Times New Roman"/>
        </w:rPr>
        <w:t xml:space="preserve"> need to </w:t>
      </w:r>
      <w:r>
        <w:rPr>
          <w:rFonts w:cs="Times New Roman"/>
        </w:rPr>
        <w:t>improve the ethical standards for lawyers in mediation</w:t>
      </w:r>
      <w:r w:rsidR="0075238C" w:rsidRPr="00B1335B">
        <w:rPr>
          <w:rFonts w:cs="Times New Roman"/>
        </w:rPr>
        <w:t xml:space="preserve">, it is apposite to consider what such a reform might look like in practice. </w:t>
      </w:r>
      <w:r w:rsidR="006103A3" w:rsidRPr="00B1335B">
        <w:rPr>
          <w:rFonts w:cs="Times New Roman"/>
        </w:rPr>
        <w:t xml:space="preserve">One obvious option is to amend the text of Rule 4.1. </w:t>
      </w:r>
      <w:proofErr w:type="spellStart"/>
      <w:r w:rsidR="006103A3" w:rsidRPr="00B1335B">
        <w:rPr>
          <w:rFonts w:cs="Times New Roman"/>
        </w:rPr>
        <w:t>Alfini</w:t>
      </w:r>
      <w:proofErr w:type="spellEnd"/>
      <w:r w:rsidR="006103A3" w:rsidRPr="00B1335B">
        <w:rPr>
          <w:rFonts w:cs="Times New Roman"/>
        </w:rPr>
        <w:t xml:space="preserve">, for example, has proposed removing the </w:t>
      </w:r>
      <w:r w:rsidR="006103A3" w:rsidRPr="00B1335B">
        <w:rPr>
          <w:rFonts w:cs="Times New Roman"/>
          <w:i/>
        </w:rPr>
        <w:t>“material”</w:t>
      </w:r>
      <w:r w:rsidR="006103A3" w:rsidRPr="00B1335B">
        <w:rPr>
          <w:rFonts w:cs="Times New Roman"/>
        </w:rPr>
        <w:t xml:space="preserve"> qualifier to the prohibition on false statements of fact and law, and adding a prohibition against lawyers knowingly </w:t>
      </w:r>
      <w:r w:rsidR="006103A3" w:rsidRPr="00B1335B">
        <w:rPr>
          <w:rFonts w:cs="Times New Roman"/>
          <w:i/>
        </w:rPr>
        <w:t>“assisting the client in reaching a settlement agreement that is based on reliance upon a false statement of fact made by the lawyer's client”</w:t>
      </w:r>
      <w:r w:rsidR="006103A3" w:rsidRPr="00B1335B">
        <w:rPr>
          <w:rFonts w:cs="Times New Roman"/>
        </w:rPr>
        <w:t>.</w:t>
      </w:r>
      <w:r w:rsidR="006103A3" w:rsidRPr="00B1335B">
        <w:rPr>
          <w:rStyle w:val="FootnoteReference"/>
          <w:rFonts w:cs="Times New Roman"/>
        </w:rPr>
        <w:footnoteReference w:id="50"/>
      </w:r>
      <w:r w:rsidR="006103A3" w:rsidRPr="00B1335B">
        <w:rPr>
          <w:rFonts w:cs="Times New Roman"/>
        </w:rPr>
        <w:t xml:space="preserve"> In addition, </w:t>
      </w:r>
      <w:proofErr w:type="spellStart"/>
      <w:r w:rsidR="006103A3" w:rsidRPr="00B1335B">
        <w:rPr>
          <w:rFonts w:cs="Times New Roman"/>
        </w:rPr>
        <w:t>Alfini</w:t>
      </w:r>
      <w:proofErr w:type="spellEnd"/>
      <w:r w:rsidR="006103A3" w:rsidRPr="00B1335B">
        <w:rPr>
          <w:rFonts w:cs="Times New Roman"/>
        </w:rPr>
        <w:t xml:space="preserve"> suggests amending the </w:t>
      </w:r>
      <w:r w:rsidR="006103A3" w:rsidRPr="00B1335B">
        <w:rPr>
          <w:rFonts w:cs="Times New Roman"/>
        </w:rPr>
        <w:lastRenderedPageBreak/>
        <w:t>commentary to Rule 4.1 to include a statement to the effect that lawyers engaged in mediation should inform their clients of these obligations</w:t>
      </w:r>
      <w:r w:rsidR="002F425D" w:rsidRPr="00B1335B">
        <w:rPr>
          <w:rFonts w:cs="Times New Roman"/>
        </w:rPr>
        <w:t>.</w:t>
      </w:r>
      <w:r w:rsidR="00BE1F6E">
        <w:rPr>
          <w:rStyle w:val="FootnoteReference"/>
          <w:rFonts w:cs="Times New Roman"/>
        </w:rPr>
        <w:footnoteReference w:id="51"/>
      </w:r>
      <w:r w:rsidR="002F425D" w:rsidRPr="00B1335B">
        <w:rPr>
          <w:rFonts w:cs="Times New Roman"/>
        </w:rPr>
        <w:t xml:space="preserve"> </w:t>
      </w:r>
    </w:p>
    <w:p w14:paraId="76021590" w14:textId="6BA0F915" w:rsidR="00AC689C" w:rsidRPr="00B1335B" w:rsidRDefault="002F425D" w:rsidP="00622140">
      <w:pPr>
        <w:spacing w:line="240" w:lineRule="auto"/>
        <w:ind w:firstLine="454"/>
        <w:jc w:val="both"/>
        <w:rPr>
          <w:rFonts w:cs="Times New Roman"/>
        </w:rPr>
      </w:pPr>
      <w:r w:rsidRPr="00B1335B">
        <w:rPr>
          <w:rFonts w:cs="Times New Roman"/>
        </w:rPr>
        <w:t xml:space="preserve">While removal of the “material” qualifier is a good start, the problem with this proposal is that it maintains the arbitrary distinction between mediation and other forms of dispute resolution. Under </w:t>
      </w:r>
      <w:proofErr w:type="spellStart"/>
      <w:r w:rsidRPr="00B1335B">
        <w:rPr>
          <w:rFonts w:cs="Times New Roman"/>
        </w:rPr>
        <w:t>Alfini’s</w:t>
      </w:r>
      <w:proofErr w:type="spellEnd"/>
      <w:r w:rsidRPr="00B1335B">
        <w:rPr>
          <w:rFonts w:cs="Times New Roman"/>
        </w:rPr>
        <w:t xml:space="preserve"> suggested amendments, </w:t>
      </w:r>
      <w:r w:rsidR="00BE1F6E">
        <w:rPr>
          <w:rFonts w:cs="Times New Roman"/>
        </w:rPr>
        <w:t>lawyers</w:t>
      </w:r>
      <w:r w:rsidRPr="00B1335B">
        <w:rPr>
          <w:rFonts w:cs="Times New Roman"/>
        </w:rPr>
        <w:t xml:space="preserve"> would be obliged to refrain from making untruthful statements or taking advantag</w:t>
      </w:r>
      <w:r w:rsidR="00BE1F6E">
        <w:rPr>
          <w:rFonts w:cs="Times New Roman"/>
        </w:rPr>
        <w:t>e of the false statements of their</w:t>
      </w:r>
      <w:r w:rsidRPr="00B1335B">
        <w:rPr>
          <w:rFonts w:cs="Times New Roman"/>
        </w:rPr>
        <w:t xml:space="preserve"> client</w:t>
      </w:r>
      <w:r w:rsidR="00BE1F6E">
        <w:rPr>
          <w:rFonts w:cs="Times New Roman"/>
        </w:rPr>
        <w:t xml:space="preserve">s. However, there would still not be any requirement </w:t>
      </w:r>
      <w:r w:rsidRPr="00B1335B">
        <w:rPr>
          <w:rFonts w:cs="Times New Roman"/>
        </w:rPr>
        <w:t>to disclose material information to the opposing party or correct</w:t>
      </w:r>
      <w:r w:rsidR="009271C3" w:rsidRPr="00B1335B">
        <w:rPr>
          <w:rFonts w:cs="Times New Roman"/>
        </w:rPr>
        <w:t xml:space="preserve"> misunderstandings. The proposal therefore does nothing to resolve the problems discussed above concerning </w:t>
      </w:r>
      <w:r w:rsidRPr="00B1335B">
        <w:rPr>
          <w:rFonts w:cs="Times New Roman"/>
        </w:rPr>
        <w:t xml:space="preserve">moral ambiguity and the </w:t>
      </w:r>
      <w:r w:rsidR="009271C3" w:rsidRPr="00B1335B">
        <w:rPr>
          <w:rFonts w:cs="Times New Roman"/>
        </w:rPr>
        <w:t xml:space="preserve">uncertainty of the </w:t>
      </w:r>
      <w:r w:rsidRPr="00B1335B">
        <w:rPr>
          <w:rFonts w:cs="Times New Roman"/>
        </w:rPr>
        <w:t>omission/misstatement</w:t>
      </w:r>
      <w:r w:rsidR="009271C3" w:rsidRPr="00B1335B">
        <w:rPr>
          <w:rFonts w:cs="Times New Roman"/>
        </w:rPr>
        <w:t xml:space="preserve"> distinction. Furthermore</w:t>
      </w:r>
      <w:r w:rsidRPr="00B1335B">
        <w:rPr>
          <w:rFonts w:cs="Times New Roman"/>
        </w:rPr>
        <w:t xml:space="preserve">, </w:t>
      </w:r>
      <w:r w:rsidR="009271C3" w:rsidRPr="00B1335B">
        <w:rPr>
          <w:rFonts w:cs="Times New Roman"/>
        </w:rPr>
        <w:t>such a reform would continue to promulgate the notion that mediation is a “lesser” form of dispute resolution in which lawyers are free to disrega</w:t>
      </w:r>
      <w:r w:rsidR="00AC689C" w:rsidRPr="00B1335B">
        <w:rPr>
          <w:rFonts w:cs="Times New Roman"/>
        </w:rPr>
        <w:t xml:space="preserve">rd the overarching demands of </w:t>
      </w:r>
      <w:r w:rsidR="009271C3" w:rsidRPr="00B1335B">
        <w:rPr>
          <w:rFonts w:cs="Times New Roman"/>
        </w:rPr>
        <w:t xml:space="preserve">justice. </w:t>
      </w:r>
    </w:p>
    <w:p w14:paraId="21744CFA" w14:textId="1DDFF233" w:rsidR="003A7A0A" w:rsidRPr="00EC77C4" w:rsidRDefault="00AF5971" w:rsidP="00622140">
      <w:pPr>
        <w:spacing w:line="240" w:lineRule="auto"/>
        <w:ind w:firstLine="454"/>
        <w:jc w:val="both"/>
        <w:rPr>
          <w:rFonts w:cs="Times New Roman"/>
        </w:rPr>
      </w:pPr>
      <w:r w:rsidRPr="00B1335B">
        <w:rPr>
          <w:rFonts w:cs="Times New Roman"/>
        </w:rPr>
        <w:t xml:space="preserve">A better option would include </w:t>
      </w:r>
      <w:r w:rsidR="00BE1F6E">
        <w:rPr>
          <w:rFonts w:cs="Times New Roman"/>
        </w:rPr>
        <w:t xml:space="preserve">amending the </w:t>
      </w:r>
      <w:r w:rsidRPr="00B1335B">
        <w:rPr>
          <w:rFonts w:cs="Times New Roman"/>
        </w:rPr>
        <w:t xml:space="preserve">definition of </w:t>
      </w:r>
      <w:r w:rsidRPr="00BE1F6E">
        <w:rPr>
          <w:rFonts w:cs="Times New Roman"/>
          <w:i/>
        </w:rPr>
        <w:t>“tribunal”</w:t>
      </w:r>
      <w:r w:rsidRPr="00B1335B">
        <w:rPr>
          <w:rFonts w:cs="Times New Roman"/>
        </w:rPr>
        <w:t xml:space="preserve"> for the purposes of Rule 3.3</w:t>
      </w:r>
      <w:r w:rsidR="00BE1F6E">
        <w:rPr>
          <w:rFonts w:cs="Times New Roman"/>
        </w:rPr>
        <w:t>,</w:t>
      </w:r>
      <w:r w:rsidRPr="00B1335B">
        <w:rPr>
          <w:rFonts w:cs="Times New Roman"/>
        </w:rPr>
        <w:t xml:space="preserve"> </w:t>
      </w:r>
      <w:r w:rsidR="00BE1F6E">
        <w:rPr>
          <w:rFonts w:cs="Times New Roman"/>
        </w:rPr>
        <w:t xml:space="preserve">so as to expand the existing duty of candor </w:t>
      </w:r>
      <w:r w:rsidR="00E74171">
        <w:rPr>
          <w:rFonts w:cs="Times New Roman"/>
        </w:rPr>
        <w:t xml:space="preserve">owed </w:t>
      </w:r>
      <w:r w:rsidR="00BE1F6E">
        <w:rPr>
          <w:rFonts w:cs="Times New Roman"/>
        </w:rPr>
        <w:t xml:space="preserve">to tribunals and </w:t>
      </w:r>
      <w:r w:rsidR="00E74171">
        <w:rPr>
          <w:rFonts w:cs="Times New Roman"/>
        </w:rPr>
        <w:t xml:space="preserve">during </w:t>
      </w:r>
      <w:r w:rsidR="00BE1F6E">
        <w:rPr>
          <w:rFonts w:cs="Times New Roman"/>
        </w:rPr>
        <w:t>adjudicative proceedings to include mediation.</w:t>
      </w:r>
      <w:r w:rsidR="00581012">
        <w:rPr>
          <w:rStyle w:val="FootnoteReference"/>
          <w:rFonts w:cs="Times New Roman"/>
        </w:rPr>
        <w:footnoteReference w:id="52"/>
      </w:r>
      <w:r w:rsidR="00BE1F6E">
        <w:rPr>
          <w:rFonts w:cs="Times New Roman"/>
        </w:rPr>
        <w:t xml:space="preserve"> This seemingly modest reform would have significant </w:t>
      </w:r>
      <w:r w:rsidR="00D020F8">
        <w:rPr>
          <w:rFonts w:cs="Times New Roman"/>
        </w:rPr>
        <w:t>imp</w:t>
      </w:r>
      <w:r w:rsidR="00A961D9">
        <w:rPr>
          <w:rFonts w:cs="Times New Roman"/>
        </w:rPr>
        <w:t>lications</w:t>
      </w:r>
      <w:r w:rsidR="003E29B9" w:rsidRPr="00B1335B">
        <w:rPr>
          <w:rFonts w:cs="Times New Roman"/>
        </w:rPr>
        <w:t>. In addition to providing for more rigorous standards of truthfulness</w:t>
      </w:r>
      <w:r w:rsidR="00685ECA">
        <w:rPr>
          <w:rFonts w:cs="Times New Roman"/>
        </w:rPr>
        <w:t xml:space="preserve"> and disclosure</w:t>
      </w:r>
      <w:r w:rsidR="00D020F8">
        <w:rPr>
          <w:rFonts w:cs="Times New Roman"/>
        </w:rPr>
        <w:t xml:space="preserve"> in mediation</w:t>
      </w:r>
      <w:r w:rsidR="003E29B9" w:rsidRPr="00B1335B">
        <w:rPr>
          <w:rFonts w:cs="Times New Roman"/>
        </w:rPr>
        <w:t xml:space="preserve">, such an amendment would place mediation on </w:t>
      </w:r>
      <w:r w:rsidR="00685ECA">
        <w:rPr>
          <w:rFonts w:cs="Times New Roman"/>
        </w:rPr>
        <w:t xml:space="preserve">an equal footing with other </w:t>
      </w:r>
      <w:r w:rsidR="003E29B9" w:rsidRPr="00B1335B">
        <w:rPr>
          <w:rFonts w:cs="Times New Roman"/>
        </w:rPr>
        <w:t>forms of dispute resolution, and ensure that parties engaged in mediation are afforded the same ethical protections as elsewhere in the justice system.</w:t>
      </w:r>
      <w:r w:rsidR="00685ECA">
        <w:rPr>
          <w:rFonts w:cs="Times New Roman"/>
        </w:rPr>
        <w:t xml:space="preserve"> The approach also has the advantage of utilizing a familiar form of words </w:t>
      </w:r>
      <w:r w:rsidR="00D020F8">
        <w:rPr>
          <w:rFonts w:cs="Times New Roman"/>
        </w:rPr>
        <w:t xml:space="preserve">for </w:t>
      </w:r>
      <w:r w:rsidR="00685ECA">
        <w:rPr>
          <w:rFonts w:cs="Times New Roman"/>
        </w:rPr>
        <w:t xml:space="preserve">which </w:t>
      </w:r>
      <w:r w:rsidR="00D020F8">
        <w:rPr>
          <w:rFonts w:cs="Times New Roman"/>
        </w:rPr>
        <w:t xml:space="preserve">there is already substantial judicial and professional guidance, and that takes appropriate account of the subsisting duties of confidentiality and zealous advocacy. </w:t>
      </w:r>
    </w:p>
    <w:p w14:paraId="6F226936" w14:textId="7ADCD19B" w:rsidR="003E29B9" w:rsidRPr="00B1335B" w:rsidRDefault="003E29B9" w:rsidP="00622140">
      <w:pPr>
        <w:pStyle w:val="Heading1"/>
        <w:spacing w:line="240" w:lineRule="auto"/>
        <w:jc w:val="both"/>
        <w:rPr>
          <w:rFonts w:cs="Times New Roman"/>
        </w:rPr>
      </w:pPr>
      <w:r w:rsidRPr="00B1335B">
        <w:rPr>
          <w:rFonts w:cs="Times New Roman"/>
        </w:rPr>
        <w:lastRenderedPageBreak/>
        <w:t>Conclusion</w:t>
      </w:r>
      <w:r w:rsidR="000926E0">
        <w:rPr>
          <w:rFonts w:cs="Times New Roman"/>
        </w:rPr>
        <w:br/>
      </w:r>
    </w:p>
    <w:p w14:paraId="5F19B533" w14:textId="7849437C" w:rsidR="000454D4" w:rsidRDefault="004F438F" w:rsidP="00622140">
      <w:pPr>
        <w:spacing w:line="240" w:lineRule="auto"/>
        <w:ind w:firstLine="454"/>
        <w:jc w:val="both"/>
        <w:rPr>
          <w:rFonts w:cs="Times New Roman"/>
        </w:rPr>
      </w:pPr>
      <w:r w:rsidRPr="00B1335B">
        <w:rPr>
          <w:rFonts w:cs="Times New Roman"/>
        </w:rPr>
        <w:t xml:space="preserve">Mediation is now a central feature of our justice system. In order to ensure that mediation produces just results, lawyers must be held to the same ethical standards of honesty and candor that apply to adjudicative processes. To that end, this paper has proposed a modest amendment to the </w:t>
      </w:r>
      <w:r w:rsidRPr="00B1335B">
        <w:rPr>
          <w:rFonts w:cs="Times New Roman"/>
          <w:i/>
        </w:rPr>
        <w:t>Model Rules</w:t>
      </w:r>
      <w:r w:rsidR="008A7D78">
        <w:rPr>
          <w:rFonts w:cs="Times New Roman"/>
        </w:rPr>
        <w:t xml:space="preserve"> that overcomes the </w:t>
      </w:r>
      <w:r w:rsidRPr="00B1335B">
        <w:rPr>
          <w:rFonts w:cs="Times New Roman"/>
        </w:rPr>
        <w:t>problems of moral ambiguity and uncertainty</w:t>
      </w:r>
      <w:r w:rsidR="008A7D78">
        <w:rPr>
          <w:rFonts w:cs="Times New Roman"/>
        </w:rPr>
        <w:t xml:space="preserve"> which are inherent in Rule 4.1</w:t>
      </w:r>
      <w:r w:rsidRPr="00B1335B">
        <w:rPr>
          <w:rFonts w:cs="Times New Roman"/>
        </w:rPr>
        <w:t>. Despite repeated calls for reform stretc</w:t>
      </w:r>
      <w:r w:rsidR="00E27E22" w:rsidRPr="00B1335B">
        <w:rPr>
          <w:rFonts w:cs="Times New Roman"/>
        </w:rPr>
        <w:t>hing</w:t>
      </w:r>
      <w:r w:rsidR="00654032" w:rsidRPr="00B1335B">
        <w:rPr>
          <w:rFonts w:cs="Times New Roman"/>
        </w:rPr>
        <w:t xml:space="preserve"> over many decades, the</w:t>
      </w:r>
      <w:r w:rsidR="00E27E22" w:rsidRPr="00B1335B">
        <w:rPr>
          <w:rFonts w:cs="Times New Roman"/>
        </w:rPr>
        <w:t xml:space="preserve"> legal profession has yet to address these issues. It is high time that it did so. </w:t>
      </w:r>
      <w:r w:rsidRPr="00B1335B">
        <w:rPr>
          <w:rFonts w:cs="Times New Roman"/>
        </w:rPr>
        <w:t xml:space="preserve"> </w:t>
      </w:r>
    </w:p>
    <w:p w14:paraId="335B4DFE" w14:textId="50CBDD58" w:rsidR="00A961D9" w:rsidRDefault="00A961D9" w:rsidP="00622140">
      <w:pPr>
        <w:spacing w:line="240" w:lineRule="auto"/>
        <w:ind w:firstLine="454"/>
        <w:jc w:val="both"/>
        <w:rPr>
          <w:rFonts w:cs="Times New Roman"/>
        </w:rPr>
      </w:pPr>
      <w:r w:rsidRPr="00EC77C4">
        <w:rPr>
          <w:rFonts w:cs="Times New Roman"/>
        </w:rPr>
        <w:t xml:space="preserve">To paraphrase the </w:t>
      </w:r>
      <w:proofErr w:type="spellStart"/>
      <w:r w:rsidRPr="00EC77C4">
        <w:rPr>
          <w:rFonts w:cs="Times New Roman"/>
          <w:i/>
        </w:rPr>
        <w:t>Virzi</w:t>
      </w:r>
      <w:proofErr w:type="spellEnd"/>
      <w:r w:rsidRPr="00EC77C4">
        <w:rPr>
          <w:rFonts w:cs="Times New Roman"/>
        </w:rPr>
        <w:t xml:space="preserve"> court, mediation is not a game, or an exercise in free market economics. A lawyer who deals with another lawyer </w:t>
      </w:r>
      <w:r w:rsidRPr="00EC77C4">
        <w:rPr>
          <w:rFonts w:cs="Times New Roman"/>
          <w:i/>
        </w:rPr>
        <w:t>“should not need to exercise the same degree of caution that he would if trading for reputedly antique copper jugs in an oriental bazaar.”</w:t>
      </w:r>
      <w:r w:rsidRPr="00D9419C">
        <w:rPr>
          <w:rStyle w:val="FootnoteReference"/>
          <w:rFonts w:cs="Times New Roman"/>
        </w:rPr>
        <w:footnoteReference w:id="53"/>
      </w:r>
      <w:r w:rsidRPr="00EC77C4">
        <w:rPr>
          <w:rFonts w:cs="Times New Roman"/>
          <w:i/>
        </w:rPr>
        <w:t xml:space="preserve"> </w:t>
      </w:r>
      <w:r w:rsidRPr="00EC77C4">
        <w:rPr>
          <w:rFonts w:cs="Times New Roman"/>
        </w:rPr>
        <w:t xml:space="preserve">Ethics, and justice, demand more. So should the </w:t>
      </w:r>
      <w:r>
        <w:rPr>
          <w:rFonts w:cs="Times New Roman"/>
          <w:i/>
        </w:rPr>
        <w:t>Model Rules</w:t>
      </w:r>
      <w:r w:rsidRPr="00EC77C4">
        <w:rPr>
          <w:rFonts w:cs="Times New Roman"/>
        </w:rPr>
        <w:t>.</w:t>
      </w:r>
    </w:p>
    <w:p w14:paraId="5FAB819A" w14:textId="77777777" w:rsidR="008F541E" w:rsidRDefault="008F541E" w:rsidP="00622140">
      <w:pPr>
        <w:spacing w:after="0" w:line="240" w:lineRule="auto"/>
        <w:rPr>
          <w:b/>
          <w:bCs/>
          <w:smallCaps/>
          <w:sz w:val="28"/>
          <w:szCs w:val="28"/>
        </w:rPr>
      </w:pPr>
      <w:r>
        <w:rPr>
          <w:b/>
          <w:bCs/>
          <w:smallCaps/>
          <w:sz w:val="28"/>
          <w:szCs w:val="28"/>
        </w:rPr>
        <w:br w:type="page"/>
      </w:r>
    </w:p>
    <w:p w14:paraId="46E79BC1" w14:textId="04BCF263" w:rsidR="000454D4" w:rsidRDefault="000454D4" w:rsidP="00622140">
      <w:pPr>
        <w:spacing w:line="240" w:lineRule="auto"/>
        <w:ind w:firstLine="454"/>
        <w:jc w:val="center"/>
        <w:rPr>
          <w:b/>
          <w:bCs/>
          <w:smallCaps/>
          <w:sz w:val="28"/>
          <w:szCs w:val="28"/>
        </w:rPr>
      </w:pPr>
      <w:r w:rsidRPr="000454D4">
        <w:rPr>
          <w:b/>
          <w:bCs/>
          <w:smallCaps/>
          <w:sz w:val="28"/>
          <w:szCs w:val="28"/>
        </w:rPr>
        <w:lastRenderedPageBreak/>
        <w:t>Bibliography</w:t>
      </w:r>
    </w:p>
    <w:p w14:paraId="579E1903" w14:textId="1D90D387" w:rsidR="00223D04" w:rsidRDefault="00223D04" w:rsidP="00622140">
      <w:pPr>
        <w:spacing w:after="0" w:line="240" w:lineRule="auto"/>
        <w:rPr>
          <w:rFonts w:cs="Times New Roman"/>
          <w:b/>
          <w:i/>
        </w:rPr>
      </w:pPr>
      <w:r>
        <w:rPr>
          <w:rFonts w:cs="Times New Roman"/>
          <w:b/>
          <w:i/>
        </w:rPr>
        <w:t>Books and Articles</w:t>
      </w:r>
    </w:p>
    <w:p w14:paraId="37A80CE3" w14:textId="77777777" w:rsidR="00223D04" w:rsidRDefault="00223D04" w:rsidP="00622140">
      <w:pPr>
        <w:spacing w:after="0" w:line="240" w:lineRule="auto"/>
        <w:rPr>
          <w:rFonts w:cs="Times New Roman"/>
          <w:b/>
          <w:i/>
        </w:rPr>
      </w:pPr>
    </w:p>
    <w:p w14:paraId="67325DCE" w14:textId="428A338E" w:rsidR="00223D04" w:rsidRPr="0065347D" w:rsidRDefault="00223D04" w:rsidP="00622140">
      <w:pPr>
        <w:spacing w:after="0" w:line="240" w:lineRule="auto"/>
        <w:rPr>
          <w:rFonts w:cs="Times New Roman"/>
        </w:rPr>
      </w:pPr>
      <w:proofErr w:type="spellStart"/>
      <w:r w:rsidRPr="0065347D">
        <w:rPr>
          <w:rFonts w:cs="Times New Roman"/>
        </w:rPr>
        <w:t>Alfini</w:t>
      </w:r>
      <w:proofErr w:type="spellEnd"/>
      <w:r w:rsidRPr="0065347D">
        <w:rPr>
          <w:rFonts w:cs="Times New Roman"/>
        </w:rPr>
        <w:t xml:space="preserve">, </w:t>
      </w:r>
      <w:r>
        <w:rPr>
          <w:rFonts w:cs="Times New Roman"/>
        </w:rPr>
        <w:t xml:space="preserve">James, </w:t>
      </w:r>
      <w:r w:rsidRPr="0065347D">
        <w:rPr>
          <w:rFonts w:cs="Times New Roman"/>
        </w:rPr>
        <w:t xml:space="preserve">“Settlement Ethics and Lawyering in ADR Proceedings: A Proposal to Revise Rule 4.1” (1999) 19 </w:t>
      </w:r>
      <w:r w:rsidRPr="0065347D">
        <w:rPr>
          <w:rFonts w:cs="Times New Roman"/>
          <w:i/>
        </w:rPr>
        <w:t xml:space="preserve">Northern Illinois University Law Review </w:t>
      </w:r>
      <w:r w:rsidR="00A961D9">
        <w:rPr>
          <w:rFonts w:cs="Times New Roman"/>
        </w:rPr>
        <w:t>255</w:t>
      </w:r>
    </w:p>
    <w:p w14:paraId="1245A040" w14:textId="77777777" w:rsidR="00223D04" w:rsidRPr="0065347D" w:rsidRDefault="00223D04" w:rsidP="00622140">
      <w:pPr>
        <w:spacing w:after="0" w:line="240" w:lineRule="auto"/>
        <w:rPr>
          <w:rFonts w:cs="Times New Roman"/>
        </w:rPr>
      </w:pPr>
    </w:p>
    <w:p w14:paraId="142166C2" w14:textId="77777777" w:rsidR="00223D04" w:rsidRDefault="00223D04" w:rsidP="00622140">
      <w:pPr>
        <w:spacing w:after="0" w:line="240" w:lineRule="auto"/>
        <w:rPr>
          <w:rFonts w:cs="Times New Roman"/>
        </w:rPr>
      </w:pPr>
      <w:r w:rsidRPr="00C909C2">
        <w:rPr>
          <w:rFonts w:cs="Times New Roman"/>
        </w:rPr>
        <w:t xml:space="preserve">American Bar Association, </w:t>
      </w:r>
      <w:proofErr w:type="gramStart"/>
      <w:r w:rsidRPr="00C909C2">
        <w:rPr>
          <w:rFonts w:cs="Times New Roman"/>
          <w:i/>
        </w:rPr>
        <w:t>A</w:t>
      </w:r>
      <w:proofErr w:type="gramEnd"/>
      <w:r w:rsidRPr="00C909C2">
        <w:rPr>
          <w:rFonts w:cs="Times New Roman"/>
          <w:i/>
        </w:rPr>
        <w:t xml:space="preserve"> Legislative History: The Development of the ABA Model Rules of Professional Conduct, 1982-2013</w:t>
      </w:r>
      <w:r w:rsidRPr="00C909C2">
        <w:rPr>
          <w:rFonts w:cs="Times New Roman"/>
        </w:rPr>
        <w:t>, (2013)</w:t>
      </w:r>
    </w:p>
    <w:p w14:paraId="78A83D7F" w14:textId="77777777" w:rsidR="00223D04" w:rsidRDefault="00223D04" w:rsidP="00622140">
      <w:pPr>
        <w:spacing w:after="0" w:line="240" w:lineRule="auto"/>
        <w:rPr>
          <w:rFonts w:cs="Times New Roman"/>
        </w:rPr>
      </w:pPr>
    </w:p>
    <w:p w14:paraId="3E0EBEB5" w14:textId="58DA630E" w:rsidR="00223D04" w:rsidRPr="0065347D" w:rsidRDefault="00223D04" w:rsidP="00622140">
      <w:pPr>
        <w:spacing w:after="0" w:line="240" w:lineRule="auto"/>
        <w:rPr>
          <w:rFonts w:cs="Times New Roman"/>
        </w:rPr>
      </w:pPr>
      <w:proofErr w:type="spellStart"/>
      <w:r w:rsidRPr="0065347D">
        <w:rPr>
          <w:rFonts w:cs="Times New Roman"/>
        </w:rPr>
        <w:t>Badgerow</w:t>
      </w:r>
      <w:proofErr w:type="spellEnd"/>
      <w:r w:rsidRPr="0065347D">
        <w:rPr>
          <w:rFonts w:cs="Times New Roman"/>
        </w:rPr>
        <w:t>,</w:t>
      </w:r>
      <w:r>
        <w:rPr>
          <w:rFonts w:cs="Times New Roman"/>
        </w:rPr>
        <w:t xml:space="preserve"> Nick,</w:t>
      </w:r>
      <w:r w:rsidRPr="0065347D">
        <w:rPr>
          <w:rFonts w:cs="Times New Roman"/>
        </w:rPr>
        <w:t xml:space="preserve"> “Honor in Battle: The Conflict </w:t>
      </w:r>
      <w:proofErr w:type="gramStart"/>
      <w:r w:rsidRPr="0065347D">
        <w:rPr>
          <w:rFonts w:cs="Times New Roman"/>
        </w:rPr>
        <w:t>Between</w:t>
      </w:r>
      <w:proofErr w:type="gramEnd"/>
      <w:r w:rsidRPr="0065347D">
        <w:rPr>
          <w:rFonts w:cs="Times New Roman"/>
        </w:rPr>
        <w:t xml:space="preserve"> Candor and Zealous Advocacy” (2001) 70 </w:t>
      </w:r>
      <w:r w:rsidRPr="0065347D">
        <w:rPr>
          <w:rFonts w:cs="Times New Roman"/>
          <w:i/>
        </w:rPr>
        <w:t>Kansas Bar Association Journal</w:t>
      </w:r>
      <w:r w:rsidR="00A961D9">
        <w:rPr>
          <w:rFonts w:cs="Times New Roman"/>
        </w:rPr>
        <w:t xml:space="preserve"> 16</w:t>
      </w:r>
    </w:p>
    <w:p w14:paraId="56B7067C" w14:textId="77777777" w:rsidR="00223D04" w:rsidRPr="0065347D" w:rsidRDefault="00223D04" w:rsidP="00622140">
      <w:pPr>
        <w:spacing w:after="0" w:line="240" w:lineRule="auto"/>
        <w:rPr>
          <w:rFonts w:cs="Times New Roman"/>
        </w:rPr>
      </w:pPr>
    </w:p>
    <w:p w14:paraId="4680AFFE" w14:textId="288125A3" w:rsidR="00223D04" w:rsidRPr="0065347D" w:rsidRDefault="00223D04" w:rsidP="00622140">
      <w:pPr>
        <w:spacing w:after="0" w:line="240" w:lineRule="auto"/>
        <w:rPr>
          <w:rFonts w:cs="Times New Roman"/>
        </w:rPr>
      </w:pPr>
      <w:proofErr w:type="gramStart"/>
      <w:r w:rsidRPr="0065347D">
        <w:rPr>
          <w:rFonts w:cs="Times New Roman"/>
        </w:rPr>
        <w:t>Barkett</w:t>
      </w:r>
      <w:r>
        <w:rPr>
          <w:rFonts w:cs="Times New Roman"/>
        </w:rPr>
        <w:t>, John</w:t>
      </w:r>
      <w:r w:rsidRPr="0065347D">
        <w:rPr>
          <w:rFonts w:cs="Times New Roman"/>
        </w:rPr>
        <w:t xml:space="preserve">, “Ethics in ADR – A Sampling of Issues” (2016) 9 </w:t>
      </w:r>
      <w:r w:rsidRPr="0065347D">
        <w:rPr>
          <w:rFonts w:cs="Times New Roman"/>
          <w:i/>
        </w:rPr>
        <w:t>American Journal of Mediation</w:t>
      </w:r>
      <w:r w:rsidRPr="0065347D">
        <w:rPr>
          <w:rFonts w:cs="Times New Roman"/>
        </w:rPr>
        <w:t xml:space="preserve"> 9.</w:t>
      </w:r>
      <w:proofErr w:type="gramEnd"/>
      <w:r w:rsidRPr="0065347D">
        <w:rPr>
          <w:rFonts w:cs="Times New Roman"/>
        </w:rPr>
        <w:t xml:space="preserve"> </w:t>
      </w:r>
    </w:p>
    <w:p w14:paraId="51EC8128" w14:textId="77777777" w:rsidR="00223D04" w:rsidRPr="0065347D" w:rsidRDefault="00223D04" w:rsidP="00622140">
      <w:pPr>
        <w:spacing w:after="0" w:line="240" w:lineRule="auto"/>
        <w:rPr>
          <w:rFonts w:cs="Times New Roman"/>
        </w:rPr>
      </w:pPr>
    </w:p>
    <w:p w14:paraId="7923CC38" w14:textId="1D6D9093" w:rsidR="00223D04" w:rsidRPr="0065347D" w:rsidRDefault="00223D04" w:rsidP="00622140">
      <w:pPr>
        <w:spacing w:after="0" w:line="240" w:lineRule="auto"/>
        <w:rPr>
          <w:rFonts w:cs="Times New Roman"/>
        </w:rPr>
      </w:pPr>
      <w:proofErr w:type="gramStart"/>
      <w:r w:rsidRPr="0065347D">
        <w:rPr>
          <w:rFonts w:cs="Times New Roman"/>
        </w:rPr>
        <w:t>Burns</w:t>
      </w:r>
      <w:r>
        <w:rPr>
          <w:rFonts w:cs="Times New Roman"/>
        </w:rPr>
        <w:t>, Robert</w:t>
      </w:r>
      <w:r w:rsidRPr="0065347D">
        <w:rPr>
          <w:rFonts w:cs="Times New Roman"/>
        </w:rPr>
        <w:t xml:space="preserve">, “Some Ethical Issues Surrounding Mediation” (2001) 70(3) </w:t>
      </w:r>
      <w:r w:rsidRPr="0065347D">
        <w:rPr>
          <w:rFonts w:cs="Times New Roman"/>
          <w:i/>
        </w:rPr>
        <w:t xml:space="preserve">Fordham Law Review </w:t>
      </w:r>
      <w:r w:rsidRPr="0065347D">
        <w:rPr>
          <w:rFonts w:cs="Times New Roman"/>
        </w:rPr>
        <w:t>691.</w:t>
      </w:r>
      <w:proofErr w:type="gramEnd"/>
      <w:r w:rsidRPr="0065347D">
        <w:rPr>
          <w:rFonts w:cs="Times New Roman"/>
        </w:rPr>
        <w:t xml:space="preserve"> </w:t>
      </w:r>
    </w:p>
    <w:p w14:paraId="6D5E87BD" w14:textId="77777777" w:rsidR="00223D04" w:rsidRPr="0065347D" w:rsidRDefault="00223D04" w:rsidP="00622140">
      <w:pPr>
        <w:spacing w:after="0" w:line="240" w:lineRule="auto"/>
        <w:rPr>
          <w:rFonts w:cs="Times New Roman"/>
        </w:rPr>
      </w:pPr>
    </w:p>
    <w:p w14:paraId="5E8A4030" w14:textId="0D174768" w:rsidR="00223D04" w:rsidRPr="0065347D" w:rsidRDefault="00223D04" w:rsidP="00622140">
      <w:pPr>
        <w:spacing w:after="0" w:line="240" w:lineRule="auto"/>
        <w:rPr>
          <w:rFonts w:cs="Times New Roman"/>
        </w:rPr>
      </w:pPr>
      <w:r w:rsidRPr="0065347D">
        <w:rPr>
          <w:rFonts w:cs="Times New Roman"/>
        </w:rPr>
        <w:t>Cooley,</w:t>
      </w:r>
      <w:r>
        <w:rPr>
          <w:rFonts w:cs="Times New Roman"/>
        </w:rPr>
        <w:t xml:space="preserve"> John,</w:t>
      </w:r>
      <w:r w:rsidRPr="0065347D">
        <w:rPr>
          <w:rFonts w:cs="Times New Roman"/>
        </w:rPr>
        <w:t xml:space="preserve"> “Defining the Ethical Limits of Acceptable Deception in Mediation” (2004) 4(2) </w:t>
      </w:r>
      <w:r w:rsidRPr="0065347D">
        <w:rPr>
          <w:rFonts w:cs="Times New Roman"/>
          <w:i/>
        </w:rPr>
        <w:t xml:space="preserve">Pepperdine Dispute Resolution Law Journal </w:t>
      </w:r>
      <w:r w:rsidRPr="0065347D">
        <w:rPr>
          <w:rFonts w:cs="Times New Roman"/>
        </w:rPr>
        <w:t>263</w:t>
      </w:r>
    </w:p>
    <w:p w14:paraId="78CD6C3E" w14:textId="77777777" w:rsidR="00223D04" w:rsidRPr="0065347D" w:rsidRDefault="00223D04" w:rsidP="00622140">
      <w:pPr>
        <w:spacing w:after="0" w:line="240" w:lineRule="auto"/>
        <w:rPr>
          <w:rFonts w:cs="Times New Roman"/>
        </w:rPr>
      </w:pPr>
    </w:p>
    <w:p w14:paraId="7BBE7B8F" w14:textId="5F42717A" w:rsidR="00223D04" w:rsidRDefault="00223D04" w:rsidP="00622140">
      <w:pPr>
        <w:spacing w:after="0" w:line="240" w:lineRule="auto"/>
        <w:rPr>
          <w:rFonts w:cs="Times New Roman"/>
        </w:rPr>
      </w:pPr>
      <w:r w:rsidRPr="008D1FE2">
        <w:rPr>
          <w:rFonts w:cs="Times New Roman"/>
        </w:rPr>
        <w:t>Cooley</w:t>
      </w:r>
      <w:r>
        <w:rPr>
          <w:rFonts w:cs="Times New Roman"/>
        </w:rPr>
        <w:t>, John</w:t>
      </w:r>
      <w:r w:rsidRPr="008D1FE2">
        <w:rPr>
          <w:rFonts w:cs="Times New Roman"/>
        </w:rPr>
        <w:t xml:space="preserve">, “Mediation Magic: Its Use and Abuse” (1997) 29 </w:t>
      </w:r>
      <w:r w:rsidRPr="00163D08">
        <w:rPr>
          <w:rFonts w:cs="Times New Roman"/>
          <w:i/>
        </w:rPr>
        <w:t>Loyola University Chicago Law Journal</w:t>
      </w:r>
      <w:r w:rsidRPr="008D1FE2">
        <w:rPr>
          <w:rFonts w:cs="Times New Roman"/>
        </w:rPr>
        <w:t xml:space="preserve"> 1</w:t>
      </w:r>
    </w:p>
    <w:p w14:paraId="559712A9" w14:textId="77777777" w:rsidR="00223D04" w:rsidRDefault="00223D04" w:rsidP="00622140">
      <w:pPr>
        <w:spacing w:after="0" w:line="240" w:lineRule="auto"/>
        <w:rPr>
          <w:rFonts w:cs="Times New Roman"/>
        </w:rPr>
      </w:pPr>
    </w:p>
    <w:p w14:paraId="1FB3C506" w14:textId="5732D4B0" w:rsidR="00223D04" w:rsidRPr="0065347D" w:rsidRDefault="00223D04" w:rsidP="00622140">
      <w:pPr>
        <w:spacing w:after="0" w:line="240" w:lineRule="auto"/>
        <w:rPr>
          <w:rFonts w:cs="Times New Roman"/>
        </w:rPr>
      </w:pPr>
      <w:r w:rsidRPr="0065347D">
        <w:rPr>
          <w:rFonts w:cs="Times New Roman"/>
        </w:rPr>
        <w:t>Craver</w:t>
      </w:r>
      <w:r>
        <w:rPr>
          <w:rFonts w:cs="Times New Roman"/>
        </w:rPr>
        <w:t>, Charles</w:t>
      </w:r>
      <w:r w:rsidRPr="0065347D">
        <w:rPr>
          <w:rFonts w:cs="Times New Roman"/>
        </w:rPr>
        <w:t xml:space="preserve">, </w:t>
      </w:r>
      <w:r w:rsidRPr="0065347D">
        <w:rPr>
          <w:rFonts w:cs="Times New Roman"/>
          <w:i/>
        </w:rPr>
        <w:t>“</w:t>
      </w:r>
      <w:r w:rsidRPr="0065347D">
        <w:rPr>
          <w:rFonts w:cs="Times New Roman"/>
        </w:rPr>
        <w:t xml:space="preserve">Negotiation Ethics: How to be Deceptive </w:t>
      </w:r>
      <w:proofErr w:type="gramStart"/>
      <w:r w:rsidRPr="0065347D">
        <w:rPr>
          <w:rFonts w:cs="Times New Roman"/>
        </w:rPr>
        <w:t>Without</w:t>
      </w:r>
      <w:proofErr w:type="gramEnd"/>
      <w:r w:rsidRPr="0065347D">
        <w:rPr>
          <w:rFonts w:cs="Times New Roman"/>
        </w:rPr>
        <w:t xml:space="preserve"> Being Dishonest/ How to be Assertive Without Being Offensive” (1997) 38 </w:t>
      </w:r>
      <w:r w:rsidRPr="0065347D">
        <w:rPr>
          <w:rFonts w:cs="Times New Roman"/>
          <w:i/>
        </w:rPr>
        <w:t xml:space="preserve">South </w:t>
      </w:r>
      <w:r w:rsidR="002C1B85" w:rsidRPr="0065347D">
        <w:rPr>
          <w:rFonts w:cs="Times New Roman"/>
          <w:i/>
        </w:rPr>
        <w:t>Texas</w:t>
      </w:r>
      <w:r w:rsidRPr="0065347D">
        <w:rPr>
          <w:rFonts w:cs="Times New Roman"/>
          <w:i/>
        </w:rPr>
        <w:t xml:space="preserve"> Law Review </w:t>
      </w:r>
      <w:r w:rsidRPr="0065347D">
        <w:rPr>
          <w:rFonts w:cs="Times New Roman"/>
        </w:rPr>
        <w:t>713</w:t>
      </w:r>
    </w:p>
    <w:p w14:paraId="4E9A32AC" w14:textId="77777777" w:rsidR="00223D04" w:rsidRPr="0065347D" w:rsidRDefault="00223D04" w:rsidP="00622140">
      <w:pPr>
        <w:spacing w:after="0" w:line="240" w:lineRule="auto"/>
        <w:rPr>
          <w:rFonts w:cs="Times New Roman"/>
        </w:rPr>
      </w:pPr>
    </w:p>
    <w:p w14:paraId="0C96D2DE" w14:textId="1B73A1B5" w:rsidR="00223D04" w:rsidRDefault="00223D04" w:rsidP="00622140">
      <w:pPr>
        <w:spacing w:after="0" w:line="240" w:lineRule="auto"/>
        <w:rPr>
          <w:rFonts w:cs="Times New Roman"/>
        </w:rPr>
      </w:pPr>
      <w:r w:rsidRPr="00064BD2">
        <w:rPr>
          <w:rFonts w:cs="Times New Roman"/>
        </w:rPr>
        <w:t>Crystal,</w:t>
      </w:r>
      <w:r>
        <w:rPr>
          <w:rFonts w:cs="Times New Roman"/>
        </w:rPr>
        <w:t xml:space="preserve"> Nathan</w:t>
      </w:r>
      <w:r w:rsidRPr="00064BD2">
        <w:rPr>
          <w:rFonts w:cs="Times New Roman"/>
        </w:rPr>
        <w:t xml:space="preserve"> “The Lawyer’s Duty to Disclose Material Facts in Contract or Settlement Negotiations” (1999) 87 Kentucky Law Journal 1055</w:t>
      </w:r>
    </w:p>
    <w:p w14:paraId="11BF65C3" w14:textId="77777777" w:rsidR="00223D04" w:rsidRDefault="00223D04" w:rsidP="00622140">
      <w:pPr>
        <w:spacing w:after="0" w:line="240" w:lineRule="auto"/>
        <w:rPr>
          <w:rFonts w:cs="Times New Roman"/>
        </w:rPr>
      </w:pPr>
    </w:p>
    <w:p w14:paraId="39E0D694" w14:textId="700F305D" w:rsidR="00223D04" w:rsidRDefault="00223D04" w:rsidP="00622140">
      <w:pPr>
        <w:spacing w:after="0" w:line="240" w:lineRule="auto"/>
        <w:rPr>
          <w:rFonts w:cs="Times New Roman"/>
        </w:rPr>
      </w:pPr>
      <w:r w:rsidRPr="0065347D">
        <w:rPr>
          <w:rFonts w:cs="Times New Roman"/>
        </w:rPr>
        <w:t>Field,</w:t>
      </w:r>
      <w:r>
        <w:rPr>
          <w:rFonts w:cs="Times New Roman"/>
        </w:rPr>
        <w:t xml:space="preserve"> Rachel,</w:t>
      </w:r>
      <w:r w:rsidRPr="0065347D">
        <w:rPr>
          <w:rFonts w:cs="Times New Roman"/>
        </w:rPr>
        <w:t xml:space="preserve"> “Exploring the potential of contextual ethics in mediation” in Reid </w:t>
      </w:r>
      <w:proofErr w:type="spellStart"/>
      <w:r w:rsidRPr="0065347D">
        <w:rPr>
          <w:rFonts w:cs="Times New Roman"/>
        </w:rPr>
        <w:t>Mortenson</w:t>
      </w:r>
      <w:proofErr w:type="spellEnd"/>
      <w:r w:rsidRPr="0065347D">
        <w:rPr>
          <w:rFonts w:cs="Times New Roman"/>
        </w:rPr>
        <w:t xml:space="preserve"> et al (</w:t>
      </w:r>
      <w:proofErr w:type="spellStart"/>
      <w:proofErr w:type="gramStart"/>
      <w:r w:rsidRPr="0065347D">
        <w:rPr>
          <w:rFonts w:cs="Times New Roman"/>
        </w:rPr>
        <w:t>eds</w:t>
      </w:r>
      <w:proofErr w:type="spellEnd"/>
      <w:proofErr w:type="gramEnd"/>
      <w:r w:rsidRPr="0065347D">
        <w:rPr>
          <w:rFonts w:cs="Times New Roman"/>
        </w:rPr>
        <w:t xml:space="preserve">), </w:t>
      </w:r>
      <w:r w:rsidRPr="0065347D">
        <w:rPr>
          <w:rFonts w:cs="Times New Roman"/>
          <w:i/>
        </w:rPr>
        <w:t>Alternative Perspectives on Lawyers and Legal Ethics: Reimaging the Profession</w:t>
      </w:r>
      <w:r>
        <w:rPr>
          <w:rFonts w:cs="Times New Roman"/>
        </w:rPr>
        <w:t xml:space="preserve"> (2010). </w:t>
      </w:r>
    </w:p>
    <w:p w14:paraId="0194BE57" w14:textId="77777777" w:rsidR="00223D04" w:rsidRDefault="00223D04" w:rsidP="00622140">
      <w:pPr>
        <w:spacing w:after="0" w:line="240" w:lineRule="auto"/>
        <w:rPr>
          <w:rFonts w:cs="Times New Roman"/>
        </w:rPr>
      </w:pPr>
    </w:p>
    <w:p w14:paraId="4256C986" w14:textId="77777777" w:rsidR="00223D04" w:rsidRDefault="00223D04" w:rsidP="00622140">
      <w:pPr>
        <w:spacing w:after="0" w:line="240" w:lineRule="auto"/>
        <w:rPr>
          <w:rFonts w:cs="Times New Roman"/>
        </w:rPr>
      </w:pPr>
      <w:r w:rsidRPr="00D94D7A">
        <w:rPr>
          <w:rFonts w:cs="Times New Roman"/>
        </w:rPr>
        <w:lastRenderedPageBreak/>
        <w:t xml:space="preserve">Bruce Green, “Deceitful Silence” (2007) 33 </w:t>
      </w:r>
      <w:r w:rsidRPr="00D94D7A">
        <w:rPr>
          <w:rFonts w:cs="Times New Roman"/>
          <w:i/>
        </w:rPr>
        <w:t>Litigation</w:t>
      </w:r>
      <w:r w:rsidRPr="00D94D7A">
        <w:rPr>
          <w:rFonts w:cs="Times New Roman"/>
        </w:rPr>
        <w:t xml:space="preserve"> 24</w:t>
      </w:r>
    </w:p>
    <w:p w14:paraId="167E032F" w14:textId="77777777" w:rsidR="00223D04" w:rsidRDefault="00223D04" w:rsidP="00622140">
      <w:pPr>
        <w:spacing w:after="0" w:line="240" w:lineRule="auto"/>
        <w:rPr>
          <w:rFonts w:cs="Times New Roman"/>
        </w:rPr>
      </w:pPr>
    </w:p>
    <w:p w14:paraId="7B4CD76B" w14:textId="48E58D19" w:rsidR="00223D04" w:rsidRPr="0065347D" w:rsidRDefault="00223D04" w:rsidP="00622140">
      <w:pPr>
        <w:spacing w:after="0" w:line="240" w:lineRule="auto"/>
        <w:rPr>
          <w:rFonts w:cs="Times New Roman"/>
        </w:rPr>
      </w:pPr>
      <w:r w:rsidRPr="0065347D">
        <w:rPr>
          <w:rFonts w:cs="Times New Roman"/>
        </w:rPr>
        <w:t>Hoffman,</w:t>
      </w:r>
      <w:r>
        <w:rPr>
          <w:rFonts w:cs="Times New Roman"/>
        </w:rPr>
        <w:t xml:space="preserve"> David,</w:t>
      </w:r>
      <w:r w:rsidRPr="0065347D">
        <w:rPr>
          <w:rFonts w:cs="Times New Roman"/>
        </w:rPr>
        <w:t xml:space="preserve"> “Chapter 9: Representing Clients in Mediation” in Massachusetts Continuing Legal Education Inc, </w:t>
      </w:r>
      <w:r w:rsidRPr="0065347D">
        <w:rPr>
          <w:rFonts w:cs="Times New Roman"/>
          <w:i/>
        </w:rPr>
        <w:t xml:space="preserve">Mediation: A Practice Guide for Mediators, Lawyers and Other Professionals </w:t>
      </w:r>
      <w:r w:rsidRPr="0065347D">
        <w:rPr>
          <w:rFonts w:cs="Times New Roman"/>
        </w:rPr>
        <w:t>(2013)</w:t>
      </w:r>
    </w:p>
    <w:p w14:paraId="4DF130A9" w14:textId="77777777" w:rsidR="00223D04" w:rsidRPr="0065347D" w:rsidRDefault="00223D04" w:rsidP="00622140">
      <w:pPr>
        <w:spacing w:after="0" w:line="240" w:lineRule="auto"/>
        <w:rPr>
          <w:rFonts w:cs="Times New Roman"/>
        </w:rPr>
      </w:pPr>
    </w:p>
    <w:p w14:paraId="38E4A8EC" w14:textId="51B6FE67" w:rsidR="00223D04" w:rsidRPr="009C4D92" w:rsidRDefault="00223D04" w:rsidP="00622140">
      <w:pPr>
        <w:spacing w:after="0" w:line="240" w:lineRule="auto"/>
        <w:rPr>
          <w:rFonts w:cs="Times New Roman"/>
        </w:rPr>
      </w:pPr>
      <w:proofErr w:type="spellStart"/>
      <w:r w:rsidRPr="009C4D92">
        <w:rPr>
          <w:rFonts w:cs="Times New Roman"/>
        </w:rPr>
        <w:t>Humbach</w:t>
      </w:r>
      <w:proofErr w:type="spellEnd"/>
      <w:r w:rsidRPr="009C4D92">
        <w:rPr>
          <w:rFonts w:cs="Times New Roman"/>
        </w:rPr>
        <w:t>,</w:t>
      </w:r>
      <w:r>
        <w:rPr>
          <w:rFonts w:cs="Times New Roman"/>
        </w:rPr>
        <w:t xml:space="preserve"> John,</w:t>
      </w:r>
      <w:r w:rsidRPr="009C4D92">
        <w:rPr>
          <w:rFonts w:cs="Times New Roman"/>
        </w:rPr>
        <w:t xml:space="preserve"> “Shifting Paradigms of Lawyer Honesty” (2009) 76 </w:t>
      </w:r>
      <w:r w:rsidRPr="009C4D92">
        <w:rPr>
          <w:rFonts w:cs="Times New Roman"/>
          <w:i/>
        </w:rPr>
        <w:t>Tennessee Law Review</w:t>
      </w:r>
      <w:r w:rsidRPr="009C4D92">
        <w:rPr>
          <w:rFonts w:cs="Times New Roman"/>
        </w:rPr>
        <w:t xml:space="preserve"> 993</w:t>
      </w:r>
    </w:p>
    <w:p w14:paraId="3731444B" w14:textId="77777777" w:rsidR="00223D04" w:rsidRDefault="00223D04" w:rsidP="00622140">
      <w:pPr>
        <w:spacing w:after="0" w:line="240" w:lineRule="auto"/>
        <w:rPr>
          <w:rFonts w:cs="Times New Roman"/>
          <w:b/>
        </w:rPr>
      </w:pPr>
    </w:p>
    <w:p w14:paraId="7815D3EC" w14:textId="44B080E6" w:rsidR="00223D04" w:rsidRPr="0065347D" w:rsidRDefault="00223D04" w:rsidP="00622140">
      <w:pPr>
        <w:spacing w:after="0" w:line="240" w:lineRule="auto"/>
        <w:rPr>
          <w:rFonts w:cs="Times New Roman"/>
        </w:rPr>
      </w:pPr>
      <w:r w:rsidRPr="0065347D">
        <w:rPr>
          <w:rFonts w:cs="Times New Roman"/>
        </w:rPr>
        <w:t>Kaplan</w:t>
      </w:r>
      <w:r>
        <w:rPr>
          <w:rFonts w:cs="Times New Roman"/>
        </w:rPr>
        <w:t xml:space="preserve">, Robert and </w:t>
      </w:r>
      <w:r w:rsidRPr="0065347D">
        <w:rPr>
          <w:rFonts w:cs="Times New Roman"/>
        </w:rPr>
        <w:t>Lawson,</w:t>
      </w:r>
      <w:r>
        <w:rPr>
          <w:rFonts w:cs="Times New Roman"/>
        </w:rPr>
        <w:t xml:space="preserve"> Linda,</w:t>
      </w:r>
      <w:r w:rsidRPr="0065347D">
        <w:rPr>
          <w:rFonts w:cs="Times New Roman"/>
        </w:rPr>
        <w:t xml:space="preserve"> “Ethical Considerations in Settlement Discussions and During Mediation” (2016) 58(3) </w:t>
      </w:r>
      <w:r w:rsidRPr="0065347D">
        <w:rPr>
          <w:rFonts w:cs="Times New Roman"/>
          <w:i/>
        </w:rPr>
        <w:t xml:space="preserve">DRI </w:t>
      </w:r>
      <w:proofErr w:type="gramStart"/>
      <w:r w:rsidRPr="0065347D">
        <w:rPr>
          <w:rFonts w:cs="Times New Roman"/>
          <w:i/>
        </w:rPr>
        <w:t>For</w:t>
      </w:r>
      <w:proofErr w:type="gramEnd"/>
      <w:r w:rsidRPr="0065347D">
        <w:rPr>
          <w:rFonts w:cs="Times New Roman"/>
          <w:i/>
        </w:rPr>
        <w:t xml:space="preserve"> the Defense </w:t>
      </w:r>
      <w:r w:rsidRPr="0065347D">
        <w:rPr>
          <w:rFonts w:cs="Times New Roman"/>
        </w:rPr>
        <w:t>12</w:t>
      </w:r>
    </w:p>
    <w:p w14:paraId="78700D67" w14:textId="77777777" w:rsidR="00223D04" w:rsidRPr="0065347D" w:rsidRDefault="00223D04" w:rsidP="00622140">
      <w:pPr>
        <w:spacing w:after="0" w:line="240" w:lineRule="auto"/>
        <w:rPr>
          <w:rFonts w:cs="Times New Roman"/>
        </w:rPr>
      </w:pPr>
    </w:p>
    <w:p w14:paraId="7DBF0E3E" w14:textId="0588BEB6" w:rsidR="00223D04" w:rsidRPr="0065347D" w:rsidRDefault="00223D04" w:rsidP="00622140">
      <w:pPr>
        <w:spacing w:after="0" w:line="240" w:lineRule="auto"/>
        <w:rPr>
          <w:rFonts w:cs="Times New Roman"/>
        </w:rPr>
      </w:pPr>
      <w:r w:rsidRPr="0065347D">
        <w:rPr>
          <w:rFonts w:cs="Times New Roman"/>
        </w:rPr>
        <w:t>Kovach,</w:t>
      </w:r>
      <w:r>
        <w:rPr>
          <w:rFonts w:cs="Times New Roman"/>
        </w:rPr>
        <w:t xml:space="preserve"> </w:t>
      </w:r>
      <w:proofErr w:type="spellStart"/>
      <w:r>
        <w:rPr>
          <w:rFonts w:cs="Times New Roman"/>
        </w:rPr>
        <w:t>Kimberlee</w:t>
      </w:r>
      <w:proofErr w:type="spellEnd"/>
      <w:r>
        <w:rPr>
          <w:rFonts w:cs="Times New Roman"/>
        </w:rPr>
        <w:t>,</w:t>
      </w:r>
      <w:r w:rsidRPr="0065347D">
        <w:rPr>
          <w:rFonts w:cs="Times New Roman"/>
        </w:rPr>
        <w:t xml:space="preserve"> “Lawyer Ethics Must Keep Pace with Practice: Plurality in Lawyering Roles Demands Diverse and Innovative Ethical Standards” (2003) 39 </w:t>
      </w:r>
      <w:r w:rsidRPr="0065347D">
        <w:rPr>
          <w:rFonts w:cs="Times New Roman"/>
          <w:i/>
        </w:rPr>
        <w:t xml:space="preserve">Idaho Law Review </w:t>
      </w:r>
      <w:r w:rsidR="00A961D9">
        <w:rPr>
          <w:rFonts w:cs="Times New Roman"/>
        </w:rPr>
        <w:t>399</w:t>
      </w:r>
      <w:r w:rsidRPr="0065347D">
        <w:rPr>
          <w:rFonts w:cs="Times New Roman"/>
        </w:rPr>
        <w:t xml:space="preserve"> </w:t>
      </w:r>
    </w:p>
    <w:p w14:paraId="25925B08" w14:textId="77777777" w:rsidR="00223D04" w:rsidRPr="0065347D" w:rsidRDefault="00223D04" w:rsidP="00622140">
      <w:pPr>
        <w:spacing w:after="0" w:line="240" w:lineRule="auto"/>
        <w:rPr>
          <w:rFonts w:cs="Times New Roman"/>
        </w:rPr>
      </w:pPr>
    </w:p>
    <w:p w14:paraId="7ABB1B25" w14:textId="7467F13A" w:rsidR="00223D04" w:rsidRPr="0065347D" w:rsidRDefault="00223D04" w:rsidP="00622140">
      <w:pPr>
        <w:spacing w:after="0" w:line="240" w:lineRule="auto"/>
        <w:rPr>
          <w:rFonts w:cs="Times New Roman"/>
        </w:rPr>
      </w:pPr>
      <w:r w:rsidRPr="0065347D">
        <w:rPr>
          <w:rFonts w:cs="Times New Roman"/>
        </w:rPr>
        <w:t>Lawrence,</w:t>
      </w:r>
      <w:r>
        <w:rPr>
          <w:rFonts w:cs="Times New Roman"/>
        </w:rPr>
        <w:t xml:space="preserve"> James,</w:t>
      </w:r>
      <w:r w:rsidRPr="0065347D">
        <w:rPr>
          <w:rFonts w:cs="Times New Roman"/>
        </w:rPr>
        <w:t xml:space="preserve"> “Lying, Misrepresenting, Puffing and Bluffing: Legal, Ethical and Professional Standards for Negotiators and Mediation Advocates” (2014) 29 </w:t>
      </w:r>
      <w:r w:rsidRPr="0065347D">
        <w:rPr>
          <w:rFonts w:cs="Times New Roman"/>
          <w:i/>
        </w:rPr>
        <w:t xml:space="preserve">Ohio State Journal on Dispute Resolution </w:t>
      </w:r>
      <w:r w:rsidR="00A961D9">
        <w:rPr>
          <w:rFonts w:cs="Times New Roman"/>
        </w:rPr>
        <w:t>35</w:t>
      </w:r>
    </w:p>
    <w:p w14:paraId="770D4117" w14:textId="77777777" w:rsidR="00223D04" w:rsidRPr="0065347D" w:rsidRDefault="00223D04" w:rsidP="00622140">
      <w:pPr>
        <w:spacing w:after="0" w:line="240" w:lineRule="auto"/>
        <w:rPr>
          <w:rFonts w:cs="Times New Roman"/>
        </w:rPr>
      </w:pPr>
    </w:p>
    <w:p w14:paraId="528709DD" w14:textId="1A21481D" w:rsidR="00223D04" w:rsidRPr="0065347D" w:rsidRDefault="00223D04" w:rsidP="00622140">
      <w:pPr>
        <w:spacing w:after="0" w:line="240" w:lineRule="auto"/>
        <w:rPr>
          <w:rFonts w:cs="Times New Roman"/>
        </w:rPr>
      </w:pPr>
      <w:proofErr w:type="spellStart"/>
      <w:r w:rsidRPr="0065347D">
        <w:rPr>
          <w:rFonts w:cs="Times New Roman"/>
        </w:rPr>
        <w:t>Meyerson</w:t>
      </w:r>
      <w:proofErr w:type="spellEnd"/>
      <w:r w:rsidRPr="0065347D">
        <w:rPr>
          <w:rFonts w:cs="Times New Roman"/>
        </w:rPr>
        <w:t>,</w:t>
      </w:r>
      <w:r>
        <w:rPr>
          <w:rFonts w:cs="Times New Roman"/>
        </w:rPr>
        <w:t xml:space="preserve"> Bruce,</w:t>
      </w:r>
      <w:r w:rsidRPr="0065347D">
        <w:rPr>
          <w:rFonts w:cs="Times New Roman"/>
        </w:rPr>
        <w:t xml:space="preserve"> “Telling the Truth in Mediation: Mediator Owed Duty of Candor” (1997) 4 </w:t>
      </w:r>
      <w:r w:rsidRPr="0065347D">
        <w:rPr>
          <w:rFonts w:cs="Times New Roman"/>
          <w:i/>
        </w:rPr>
        <w:t xml:space="preserve">Dispute Resolution Magazine </w:t>
      </w:r>
      <w:r w:rsidR="00A961D9">
        <w:rPr>
          <w:rFonts w:cs="Times New Roman"/>
        </w:rPr>
        <w:t>17</w:t>
      </w:r>
      <w:r w:rsidRPr="0065347D">
        <w:rPr>
          <w:rFonts w:cs="Times New Roman"/>
        </w:rPr>
        <w:t xml:space="preserve"> </w:t>
      </w:r>
    </w:p>
    <w:p w14:paraId="21923C87" w14:textId="77777777" w:rsidR="00223D04" w:rsidRPr="0065347D" w:rsidRDefault="00223D04" w:rsidP="00622140">
      <w:pPr>
        <w:spacing w:after="0" w:line="240" w:lineRule="auto"/>
        <w:rPr>
          <w:rFonts w:cs="Times New Roman"/>
        </w:rPr>
      </w:pPr>
    </w:p>
    <w:p w14:paraId="0228C756" w14:textId="4ACB1529" w:rsidR="00223D04" w:rsidRPr="0065347D" w:rsidRDefault="00223D04" w:rsidP="00622140">
      <w:pPr>
        <w:spacing w:after="0" w:line="240" w:lineRule="auto"/>
        <w:rPr>
          <w:rFonts w:cs="Times New Roman"/>
        </w:rPr>
      </w:pPr>
      <w:r w:rsidRPr="0065347D">
        <w:rPr>
          <w:rFonts w:cs="Times New Roman"/>
        </w:rPr>
        <w:t>Peters</w:t>
      </w:r>
      <w:r>
        <w:rPr>
          <w:rFonts w:cs="Times New Roman"/>
        </w:rPr>
        <w:t>, Don</w:t>
      </w:r>
      <w:r w:rsidRPr="0065347D">
        <w:rPr>
          <w:rFonts w:cs="Times New Roman"/>
        </w:rPr>
        <w:t xml:space="preserve">, “When Lawyers Move Their Lips: Attorney Truthfulness in Mediation and a Modest Proposal” (2007) </w:t>
      </w:r>
      <w:r w:rsidRPr="0065347D">
        <w:rPr>
          <w:rFonts w:cs="Times New Roman"/>
          <w:i/>
        </w:rPr>
        <w:t>Journal of Dispute Resolution</w:t>
      </w:r>
      <w:r w:rsidR="00A961D9">
        <w:rPr>
          <w:rFonts w:cs="Times New Roman"/>
        </w:rPr>
        <w:t xml:space="preserve"> 119</w:t>
      </w:r>
      <w:r w:rsidRPr="0065347D">
        <w:rPr>
          <w:rFonts w:cs="Times New Roman"/>
        </w:rPr>
        <w:t xml:space="preserve"> </w:t>
      </w:r>
    </w:p>
    <w:p w14:paraId="7173DBDF" w14:textId="77777777" w:rsidR="00223D04" w:rsidRPr="0065347D" w:rsidRDefault="00223D04" w:rsidP="00622140">
      <w:pPr>
        <w:spacing w:after="0" w:line="240" w:lineRule="auto"/>
        <w:rPr>
          <w:rFonts w:cs="Times New Roman"/>
        </w:rPr>
      </w:pPr>
    </w:p>
    <w:p w14:paraId="04C6EB9C" w14:textId="16729891" w:rsidR="00223D04" w:rsidRPr="0065347D" w:rsidRDefault="00223D04" w:rsidP="00622140">
      <w:pPr>
        <w:spacing w:after="0" w:line="240" w:lineRule="auto"/>
        <w:rPr>
          <w:rFonts w:cs="Times New Roman"/>
        </w:rPr>
      </w:pPr>
      <w:r w:rsidRPr="0065347D">
        <w:rPr>
          <w:rFonts w:cs="Times New Roman"/>
        </w:rPr>
        <w:t>Richmond</w:t>
      </w:r>
      <w:r>
        <w:rPr>
          <w:rFonts w:cs="Times New Roman"/>
        </w:rPr>
        <w:t>, Douglas</w:t>
      </w:r>
      <w:r w:rsidRPr="0065347D">
        <w:rPr>
          <w:rFonts w:cs="Times New Roman"/>
        </w:rPr>
        <w:t xml:space="preserve">, “Lawyers’ Professional Responsibilities and Liabilities in Negotiations” (2009) 22 </w:t>
      </w:r>
      <w:r w:rsidRPr="0065347D">
        <w:rPr>
          <w:rFonts w:cs="Times New Roman"/>
          <w:i/>
        </w:rPr>
        <w:t>Georgetown Journal of Legal Ethics</w:t>
      </w:r>
      <w:r w:rsidR="00A961D9">
        <w:rPr>
          <w:rFonts w:cs="Times New Roman"/>
        </w:rPr>
        <w:t xml:space="preserve"> 249</w:t>
      </w:r>
      <w:r w:rsidRPr="0065347D">
        <w:rPr>
          <w:rFonts w:cs="Times New Roman"/>
        </w:rPr>
        <w:t xml:space="preserve"> </w:t>
      </w:r>
    </w:p>
    <w:p w14:paraId="5E4971F2" w14:textId="77777777" w:rsidR="00223D04" w:rsidRPr="0065347D" w:rsidRDefault="00223D04" w:rsidP="00622140">
      <w:pPr>
        <w:spacing w:after="0" w:line="240" w:lineRule="auto"/>
        <w:rPr>
          <w:rFonts w:cs="Times New Roman"/>
        </w:rPr>
      </w:pPr>
    </w:p>
    <w:p w14:paraId="42A54C8C" w14:textId="399F70F4" w:rsidR="00223D04" w:rsidRPr="0065347D" w:rsidRDefault="00223D04" w:rsidP="00622140">
      <w:pPr>
        <w:spacing w:after="0" w:line="240" w:lineRule="auto"/>
        <w:rPr>
          <w:rFonts w:cs="Times New Roman"/>
        </w:rPr>
      </w:pPr>
      <w:r w:rsidRPr="0065347D">
        <w:rPr>
          <w:rFonts w:cs="Times New Roman"/>
        </w:rPr>
        <w:t>Rubin</w:t>
      </w:r>
      <w:r>
        <w:rPr>
          <w:rFonts w:cs="Times New Roman"/>
        </w:rPr>
        <w:t>, Alvin</w:t>
      </w:r>
      <w:r w:rsidRPr="0065347D">
        <w:rPr>
          <w:rFonts w:cs="Times New Roman"/>
        </w:rPr>
        <w:t xml:space="preserve">, "A Causerie on Lawyers’ Ethics in Negotiations” (1975) 35(3) </w:t>
      </w:r>
      <w:r w:rsidRPr="0065347D">
        <w:rPr>
          <w:rFonts w:cs="Times New Roman"/>
          <w:i/>
        </w:rPr>
        <w:t>Louisiana Law Review</w:t>
      </w:r>
      <w:r w:rsidRPr="0065347D">
        <w:rPr>
          <w:rFonts w:cs="Times New Roman"/>
        </w:rPr>
        <w:t xml:space="preserve"> 577</w:t>
      </w:r>
    </w:p>
    <w:p w14:paraId="5A766575" w14:textId="77777777" w:rsidR="00223D04" w:rsidRDefault="00223D04" w:rsidP="00622140">
      <w:pPr>
        <w:spacing w:after="0" w:line="240" w:lineRule="auto"/>
        <w:rPr>
          <w:rFonts w:cs="Times New Roman"/>
        </w:rPr>
      </w:pPr>
    </w:p>
    <w:p w14:paraId="0B1F281A" w14:textId="6FF993F2" w:rsidR="00223D04" w:rsidRPr="0065347D" w:rsidRDefault="00223D04" w:rsidP="00622140">
      <w:pPr>
        <w:spacing w:after="0" w:line="240" w:lineRule="auto"/>
        <w:rPr>
          <w:rFonts w:cs="Times New Roman"/>
        </w:rPr>
      </w:pPr>
      <w:r w:rsidRPr="00D746E5">
        <w:rPr>
          <w:rFonts w:cs="Times New Roman"/>
        </w:rPr>
        <w:t>Rubin</w:t>
      </w:r>
      <w:r>
        <w:rPr>
          <w:rFonts w:cs="Times New Roman"/>
        </w:rPr>
        <w:t>, Michael</w:t>
      </w:r>
      <w:r w:rsidRPr="00D746E5">
        <w:rPr>
          <w:rFonts w:cs="Times New Roman"/>
        </w:rPr>
        <w:t xml:space="preserve">, “The Ethics of Negotiations: Are There Any?” (1995) 56 </w:t>
      </w:r>
      <w:r w:rsidRPr="00D746E5">
        <w:rPr>
          <w:rFonts w:cs="Times New Roman"/>
          <w:i/>
        </w:rPr>
        <w:t>Louisiana Law Review</w:t>
      </w:r>
      <w:r w:rsidRPr="00D746E5">
        <w:rPr>
          <w:rFonts w:cs="Times New Roman"/>
        </w:rPr>
        <w:t xml:space="preserve"> 447</w:t>
      </w:r>
    </w:p>
    <w:p w14:paraId="455224D1" w14:textId="77777777" w:rsidR="00223D04" w:rsidRDefault="00223D04" w:rsidP="00622140">
      <w:pPr>
        <w:spacing w:after="0" w:line="240" w:lineRule="auto"/>
        <w:rPr>
          <w:rFonts w:cs="Times New Roman"/>
        </w:rPr>
      </w:pPr>
    </w:p>
    <w:p w14:paraId="7B5B48AE" w14:textId="227C92D3" w:rsidR="00223D04" w:rsidRPr="0065347D" w:rsidRDefault="00223D04" w:rsidP="00622140">
      <w:pPr>
        <w:spacing w:after="0" w:line="240" w:lineRule="auto"/>
        <w:rPr>
          <w:rFonts w:cs="Times New Roman"/>
        </w:rPr>
      </w:pPr>
      <w:r w:rsidRPr="0065347D">
        <w:rPr>
          <w:rFonts w:cs="Times New Roman"/>
        </w:rPr>
        <w:lastRenderedPageBreak/>
        <w:t>Sherrill</w:t>
      </w:r>
      <w:r>
        <w:rPr>
          <w:rFonts w:cs="Times New Roman"/>
        </w:rPr>
        <w:t>, John</w:t>
      </w:r>
      <w:r w:rsidRPr="0065347D">
        <w:rPr>
          <w:rFonts w:cs="Times New Roman"/>
        </w:rPr>
        <w:t xml:space="preserve">, “Ethics for Lawyers Representing Clients in Mediations” (2012) 6 </w:t>
      </w:r>
      <w:r w:rsidRPr="0065347D">
        <w:rPr>
          <w:rFonts w:cs="Times New Roman"/>
          <w:i/>
        </w:rPr>
        <w:t>American Journal of Mediation</w:t>
      </w:r>
      <w:r w:rsidRPr="0065347D">
        <w:rPr>
          <w:rFonts w:cs="Times New Roman"/>
        </w:rPr>
        <w:t xml:space="preserve"> 29</w:t>
      </w:r>
    </w:p>
    <w:p w14:paraId="7800247B" w14:textId="77777777" w:rsidR="00223D04" w:rsidRPr="0065347D" w:rsidRDefault="00223D04" w:rsidP="00622140">
      <w:pPr>
        <w:spacing w:after="0" w:line="240" w:lineRule="auto"/>
        <w:rPr>
          <w:rFonts w:cs="Times New Roman"/>
        </w:rPr>
      </w:pPr>
    </w:p>
    <w:p w14:paraId="38848AD4" w14:textId="5DF4332C" w:rsidR="00223D04" w:rsidRPr="0065347D" w:rsidRDefault="00223D04" w:rsidP="00622140">
      <w:pPr>
        <w:spacing w:after="0" w:line="240" w:lineRule="auto"/>
        <w:rPr>
          <w:rFonts w:cs="Times New Roman"/>
        </w:rPr>
      </w:pPr>
      <w:proofErr w:type="spellStart"/>
      <w:r w:rsidRPr="0065347D">
        <w:rPr>
          <w:rFonts w:cs="Times New Roman"/>
        </w:rPr>
        <w:t>Tarlow</w:t>
      </w:r>
      <w:proofErr w:type="spellEnd"/>
      <w:r>
        <w:rPr>
          <w:rFonts w:cs="Times New Roman"/>
        </w:rPr>
        <w:t xml:space="preserve">, John and </w:t>
      </w:r>
      <w:r w:rsidRPr="0065347D">
        <w:rPr>
          <w:rFonts w:cs="Times New Roman"/>
        </w:rPr>
        <w:t>Sink</w:t>
      </w:r>
      <w:r>
        <w:rPr>
          <w:rFonts w:cs="Times New Roman"/>
        </w:rPr>
        <w:t>, Charles</w:t>
      </w:r>
      <w:r w:rsidRPr="0065347D">
        <w:rPr>
          <w:rFonts w:cs="Times New Roman"/>
        </w:rPr>
        <w:t xml:space="preserve">, “In Defense of Lying: The Ethics of Deception in Mediation” (2015) </w:t>
      </w:r>
      <w:r w:rsidRPr="0065347D">
        <w:rPr>
          <w:rFonts w:cs="Times New Roman"/>
          <w:i/>
        </w:rPr>
        <w:t>American Bar Association</w:t>
      </w:r>
      <w:r w:rsidRPr="0065347D">
        <w:rPr>
          <w:rFonts w:cs="Times New Roman"/>
        </w:rPr>
        <w:t>,</w:t>
      </w:r>
      <w:r w:rsidRPr="0065347D">
        <w:rPr>
          <w:rFonts w:cs="Times New Roman"/>
          <w:i/>
        </w:rPr>
        <w:t xml:space="preserve"> </w:t>
      </w:r>
      <w:r w:rsidRPr="0065347D">
        <w:rPr>
          <w:rFonts w:cs="Times New Roman"/>
        </w:rPr>
        <w:t>presented at the Fall Meeting of the Forum on Cons</w:t>
      </w:r>
      <w:r w:rsidR="00533525">
        <w:rPr>
          <w:rFonts w:cs="Times New Roman"/>
        </w:rPr>
        <w:t>truction Law, October 8-9 2015</w:t>
      </w:r>
    </w:p>
    <w:p w14:paraId="4FCEC281" w14:textId="77777777" w:rsidR="00223D04" w:rsidRPr="0065347D" w:rsidRDefault="00223D04" w:rsidP="00622140">
      <w:pPr>
        <w:spacing w:after="0" w:line="240" w:lineRule="auto"/>
        <w:rPr>
          <w:rFonts w:cs="Times New Roman"/>
        </w:rPr>
      </w:pPr>
    </w:p>
    <w:p w14:paraId="4A08A063" w14:textId="70EC76BC" w:rsidR="00223D04" w:rsidRPr="0065347D" w:rsidRDefault="00223D04" w:rsidP="00622140">
      <w:pPr>
        <w:spacing w:after="0" w:line="240" w:lineRule="auto"/>
        <w:rPr>
          <w:rFonts w:cs="Times New Roman"/>
        </w:rPr>
      </w:pPr>
      <w:proofErr w:type="spellStart"/>
      <w:r w:rsidRPr="0065347D">
        <w:rPr>
          <w:rFonts w:cs="Times New Roman"/>
        </w:rPr>
        <w:t>Temkin</w:t>
      </w:r>
      <w:proofErr w:type="spellEnd"/>
      <w:r>
        <w:rPr>
          <w:rFonts w:cs="Times New Roman"/>
        </w:rPr>
        <w:t>, Barry</w:t>
      </w:r>
      <w:r w:rsidRPr="0065347D">
        <w:rPr>
          <w:rFonts w:cs="Times New Roman"/>
        </w:rPr>
        <w:t>, “Misrepresentation by Omission in Settlement Negotiations: Should There</w:t>
      </w:r>
      <w:r>
        <w:rPr>
          <w:rFonts w:cs="Times New Roman"/>
        </w:rPr>
        <w:t xml:space="preserve"> Be a Silent Safe Harbor?” (2004</w:t>
      </w:r>
      <w:r w:rsidRPr="0065347D">
        <w:rPr>
          <w:rFonts w:cs="Times New Roman"/>
        </w:rPr>
        <w:t xml:space="preserve">) 18 </w:t>
      </w:r>
      <w:r w:rsidRPr="0065347D">
        <w:rPr>
          <w:rFonts w:cs="Times New Roman"/>
          <w:i/>
        </w:rPr>
        <w:t>Georgetown Journal of Legal Ethics</w:t>
      </w:r>
      <w:r w:rsidR="00533525">
        <w:rPr>
          <w:rFonts w:cs="Times New Roman"/>
        </w:rPr>
        <w:t xml:space="preserve"> 179</w:t>
      </w:r>
      <w:r w:rsidRPr="0065347D">
        <w:rPr>
          <w:rFonts w:cs="Times New Roman"/>
        </w:rPr>
        <w:t xml:space="preserve"> </w:t>
      </w:r>
    </w:p>
    <w:p w14:paraId="47FDC16B" w14:textId="77777777" w:rsidR="00223D04" w:rsidRPr="0065347D" w:rsidRDefault="00223D04" w:rsidP="00622140">
      <w:pPr>
        <w:spacing w:after="0" w:line="240" w:lineRule="auto"/>
        <w:rPr>
          <w:rFonts w:cs="Times New Roman"/>
        </w:rPr>
      </w:pPr>
    </w:p>
    <w:p w14:paraId="6CF1FC56" w14:textId="5FAE177C" w:rsidR="00223D04" w:rsidRDefault="00223D04" w:rsidP="00622140">
      <w:pPr>
        <w:spacing w:after="0" w:line="240" w:lineRule="auto"/>
        <w:rPr>
          <w:rFonts w:cs="Times New Roman"/>
        </w:rPr>
      </w:pPr>
      <w:r w:rsidRPr="00231AE4">
        <w:rPr>
          <w:rFonts w:cs="Times New Roman"/>
        </w:rPr>
        <w:t>Thompson</w:t>
      </w:r>
      <w:r>
        <w:rPr>
          <w:rFonts w:cs="Times New Roman"/>
        </w:rPr>
        <w:t>, Peter</w:t>
      </w:r>
      <w:r w:rsidRPr="00231AE4">
        <w:rPr>
          <w:rFonts w:cs="Times New Roman"/>
        </w:rPr>
        <w:t xml:space="preserve">, “Good Faith Mediation in the Federal Courts” (2010) 26 </w:t>
      </w:r>
      <w:r w:rsidRPr="00231AE4">
        <w:rPr>
          <w:rFonts w:cs="Times New Roman"/>
          <w:i/>
        </w:rPr>
        <w:t>Ohio State Journal on Dispute Resolution</w:t>
      </w:r>
      <w:r w:rsidRPr="00231AE4">
        <w:rPr>
          <w:rFonts w:cs="Times New Roman"/>
        </w:rPr>
        <w:t xml:space="preserve"> 363</w:t>
      </w:r>
    </w:p>
    <w:p w14:paraId="1A6A609C" w14:textId="77777777" w:rsidR="00223D04" w:rsidRDefault="00223D04" w:rsidP="00622140">
      <w:pPr>
        <w:spacing w:after="0" w:line="240" w:lineRule="auto"/>
        <w:rPr>
          <w:rFonts w:cs="Times New Roman"/>
        </w:rPr>
      </w:pPr>
    </w:p>
    <w:p w14:paraId="7E0913C4" w14:textId="7122A96B" w:rsidR="00223D04" w:rsidRDefault="00223D04" w:rsidP="00622140">
      <w:pPr>
        <w:spacing w:after="0" w:line="240" w:lineRule="auto"/>
        <w:rPr>
          <w:rFonts w:cs="Times New Roman"/>
        </w:rPr>
      </w:pPr>
      <w:r w:rsidRPr="008802C1">
        <w:rPr>
          <w:rFonts w:cs="Times New Roman"/>
        </w:rPr>
        <w:t>White,</w:t>
      </w:r>
      <w:r>
        <w:rPr>
          <w:rFonts w:cs="Times New Roman"/>
        </w:rPr>
        <w:t xml:space="preserve"> James,</w:t>
      </w:r>
      <w:r w:rsidRPr="008802C1">
        <w:rPr>
          <w:rFonts w:cs="Times New Roman"/>
        </w:rPr>
        <w:t xml:space="preserve"> “Machiavelli and the Bar: Ethical Limitations on Lying in Negotiation” (1980) </w:t>
      </w:r>
      <w:r w:rsidRPr="008802C1">
        <w:rPr>
          <w:rFonts w:cs="Times New Roman"/>
          <w:i/>
        </w:rPr>
        <w:t>American Bar Foundation Research Journal</w:t>
      </w:r>
      <w:r w:rsidRPr="008802C1">
        <w:rPr>
          <w:rFonts w:cs="Times New Roman"/>
        </w:rPr>
        <w:t xml:space="preserve"> 926</w:t>
      </w:r>
    </w:p>
    <w:p w14:paraId="3D4830E7" w14:textId="77777777" w:rsidR="00223D04" w:rsidRDefault="00223D04" w:rsidP="00622140">
      <w:pPr>
        <w:spacing w:after="0" w:line="240" w:lineRule="auto"/>
        <w:rPr>
          <w:rFonts w:cs="Times New Roman"/>
        </w:rPr>
      </w:pPr>
    </w:p>
    <w:p w14:paraId="1588DA93" w14:textId="58D74B1D" w:rsidR="00223D04" w:rsidRPr="0065347D" w:rsidRDefault="00223D04" w:rsidP="00622140">
      <w:pPr>
        <w:spacing w:after="0" w:line="240" w:lineRule="auto"/>
        <w:rPr>
          <w:rFonts w:cs="Times New Roman"/>
        </w:rPr>
      </w:pPr>
      <w:proofErr w:type="spellStart"/>
      <w:r w:rsidRPr="0065347D">
        <w:rPr>
          <w:rFonts w:cs="Times New Roman"/>
        </w:rPr>
        <w:t>Wolski</w:t>
      </w:r>
      <w:proofErr w:type="spellEnd"/>
      <w:r>
        <w:rPr>
          <w:rFonts w:cs="Times New Roman"/>
        </w:rPr>
        <w:t xml:space="preserve">, </w:t>
      </w:r>
      <w:proofErr w:type="spellStart"/>
      <w:r>
        <w:rPr>
          <w:rFonts w:cs="Times New Roman"/>
        </w:rPr>
        <w:t>Bobette</w:t>
      </w:r>
      <w:proofErr w:type="spellEnd"/>
      <w:r w:rsidRPr="0065347D">
        <w:rPr>
          <w:rFonts w:cs="Times New Roman"/>
        </w:rPr>
        <w:t xml:space="preserve">, “The Truth </w:t>
      </w:r>
      <w:proofErr w:type="gramStart"/>
      <w:r w:rsidRPr="0065347D">
        <w:rPr>
          <w:rFonts w:cs="Times New Roman"/>
        </w:rPr>
        <w:t>About</w:t>
      </w:r>
      <w:proofErr w:type="gramEnd"/>
      <w:r w:rsidRPr="0065347D">
        <w:rPr>
          <w:rFonts w:cs="Times New Roman"/>
        </w:rPr>
        <w:t xml:space="preserve"> Honesty and </w:t>
      </w:r>
      <w:proofErr w:type="spellStart"/>
      <w:r w:rsidRPr="0065347D">
        <w:rPr>
          <w:rFonts w:cs="Times New Roman"/>
        </w:rPr>
        <w:t>Candour</w:t>
      </w:r>
      <w:proofErr w:type="spellEnd"/>
      <w:r w:rsidRPr="0065347D">
        <w:rPr>
          <w:rFonts w:cs="Times New Roman"/>
        </w:rPr>
        <w:t xml:space="preserve"> in Mediation: What the Tribunal Left Unsaid in Mullins’</w:t>
      </w:r>
      <w:r w:rsidRPr="0065347D">
        <w:rPr>
          <w:rFonts w:cs="Times New Roman"/>
          <w:i/>
        </w:rPr>
        <w:t xml:space="preserve"> </w:t>
      </w:r>
      <w:r w:rsidRPr="0065347D">
        <w:rPr>
          <w:rFonts w:cs="Times New Roman"/>
        </w:rPr>
        <w:t xml:space="preserve">Case” (2012) </w:t>
      </w:r>
      <w:r w:rsidRPr="0065347D">
        <w:rPr>
          <w:rFonts w:cs="Times New Roman"/>
          <w:i/>
        </w:rPr>
        <w:t xml:space="preserve">Melbourne University Law Review </w:t>
      </w:r>
      <w:r w:rsidR="00533525">
        <w:rPr>
          <w:rFonts w:cs="Times New Roman"/>
        </w:rPr>
        <w:t>706</w:t>
      </w:r>
      <w:r w:rsidRPr="0065347D">
        <w:rPr>
          <w:rFonts w:cs="Times New Roman"/>
        </w:rPr>
        <w:t xml:space="preserve"> </w:t>
      </w:r>
    </w:p>
    <w:p w14:paraId="3E35E5E9" w14:textId="77777777" w:rsidR="00223D04" w:rsidRDefault="00223D04" w:rsidP="00622140">
      <w:pPr>
        <w:spacing w:after="0" w:line="240" w:lineRule="auto"/>
        <w:rPr>
          <w:rFonts w:cs="Times New Roman"/>
        </w:rPr>
      </w:pPr>
    </w:p>
    <w:p w14:paraId="23BF869A" w14:textId="77777777" w:rsidR="00223D04" w:rsidRPr="0065347D" w:rsidRDefault="00223D04" w:rsidP="00622140">
      <w:pPr>
        <w:spacing w:after="0" w:line="240" w:lineRule="auto"/>
        <w:rPr>
          <w:rFonts w:cs="Times New Roman"/>
        </w:rPr>
      </w:pPr>
    </w:p>
    <w:p w14:paraId="34C1F170" w14:textId="77777777" w:rsidR="00223D04" w:rsidRPr="0065347D" w:rsidRDefault="00223D04" w:rsidP="00622140">
      <w:pPr>
        <w:spacing w:after="0" w:line="240" w:lineRule="auto"/>
        <w:rPr>
          <w:rFonts w:cs="Times New Roman"/>
          <w:b/>
          <w:i/>
        </w:rPr>
      </w:pPr>
      <w:r w:rsidRPr="0065347D">
        <w:rPr>
          <w:rFonts w:cs="Times New Roman"/>
          <w:b/>
          <w:i/>
        </w:rPr>
        <w:t xml:space="preserve">Cases </w:t>
      </w:r>
    </w:p>
    <w:p w14:paraId="0F582EB5" w14:textId="77777777" w:rsidR="00223D04" w:rsidRDefault="00223D04" w:rsidP="00622140">
      <w:pPr>
        <w:spacing w:after="0" w:line="240" w:lineRule="auto"/>
        <w:rPr>
          <w:rFonts w:cs="Times New Roman"/>
          <w:b/>
          <w:i/>
        </w:rPr>
      </w:pPr>
    </w:p>
    <w:p w14:paraId="45048123" w14:textId="77777777" w:rsidR="00223D04" w:rsidRDefault="00223D04" w:rsidP="00622140">
      <w:pPr>
        <w:spacing w:after="0" w:line="240" w:lineRule="auto"/>
        <w:rPr>
          <w:rFonts w:cs="Times New Roman"/>
        </w:rPr>
      </w:pPr>
      <w:r w:rsidRPr="00396EC0">
        <w:rPr>
          <w:rFonts w:cs="Times New Roman"/>
          <w:i/>
        </w:rPr>
        <w:t>Crowe v</w:t>
      </w:r>
      <w:r>
        <w:rPr>
          <w:rFonts w:cs="Times New Roman"/>
          <w:i/>
        </w:rPr>
        <w:t>.</w:t>
      </w:r>
      <w:r w:rsidRPr="00396EC0">
        <w:rPr>
          <w:rFonts w:cs="Times New Roman"/>
          <w:i/>
        </w:rPr>
        <w:t xml:space="preserve"> Smith, </w:t>
      </w:r>
      <w:r w:rsidRPr="00396EC0">
        <w:rPr>
          <w:rFonts w:cs="Times New Roman"/>
        </w:rPr>
        <w:t>151 F.3d 217 (5th Cir, 1998)</w:t>
      </w:r>
    </w:p>
    <w:p w14:paraId="58DAFC12" w14:textId="77777777" w:rsidR="00223D04" w:rsidRDefault="00223D04" w:rsidP="00622140">
      <w:pPr>
        <w:spacing w:after="0" w:line="240" w:lineRule="auto"/>
        <w:rPr>
          <w:rFonts w:cs="Times New Roman"/>
        </w:rPr>
      </w:pPr>
    </w:p>
    <w:p w14:paraId="64052F01" w14:textId="77777777" w:rsidR="00223D04" w:rsidRPr="005B033D" w:rsidRDefault="00223D04" w:rsidP="00622140">
      <w:pPr>
        <w:spacing w:after="0" w:line="240" w:lineRule="auto"/>
        <w:rPr>
          <w:rFonts w:cs="Times New Roman"/>
        </w:rPr>
      </w:pPr>
      <w:r w:rsidRPr="005B033D">
        <w:rPr>
          <w:rFonts w:cs="Times New Roman"/>
          <w:i/>
        </w:rPr>
        <w:t xml:space="preserve">In re Forrest, </w:t>
      </w:r>
      <w:r w:rsidRPr="005B033D">
        <w:rPr>
          <w:rFonts w:cs="Times New Roman"/>
        </w:rPr>
        <w:t>158 N.J. 428, 730 A.2d 340, 345–46 (1999)</w:t>
      </w:r>
    </w:p>
    <w:p w14:paraId="35E92BDB" w14:textId="77777777" w:rsidR="00223D04" w:rsidRDefault="00223D04" w:rsidP="00622140">
      <w:pPr>
        <w:spacing w:after="0" w:line="240" w:lineRule="auto"/>
        <w:rPr>
          <w:rFonts w:cs="Times New Roman"/>
          <w:i/>
        </w:rPr>
      </w:pPr>
    </w:p>
    <w:p w14:paraId="4D443904" w14:textId="77777777" w:rsidR="00223D04" w:rsidRDefault="00223D04" w:rsidP="00622140">
      <w:pPr>
        <w:spacing w:after="0" w:line="240" w:lineRule="auto"/>
        <w:rPr>
          <w:rFonts w:cs="Times New Roman"/>
          <w:i/>
        </w:rPr>
      </w:pPr>
      <w:r w:rsidRPr="005B033D">
        <w:rPr>
          <w:rFonts w:cs="Times New Roman"/>
          <w:i/>
        </w:rPr>
        <w:t>In re Lyons</w:t>
      </w:r>
      <w:r w:rsidRPr="005B033D">
        <w:rPr>
          <w:rFonts w:cs="Times New Roman"/>
        </w:rPr>
        <w:t>, 780 N.W.2d 629 (Minn. 2010)</w:t>
      </w:r>
    </w:p>
    <w:p w14:paraId="4D4C1ABB" w14:textId="77777777" w:rsidR="00223D04" w:rsidRDefault="00223D04" w:rsidP="00622140">
      <w:pPr>
        <w:spacing w:after="0" w:line="240" w:lineRule="auto"/>
        <w:rPr>
          <w:rFonts w:cs="Times New Roman"/>
          <w:i/>
        </w:rPr>
      </w:pPr>
    </w:p>
    <w:p w14:paraId="7BAA4E53" w14:textId="77777777" w:rsidR="00223D04" w:rsidRPr="00CE30A6" w:rsidRDefault="00223D04" w:rsidP="00622140">
      <w:pPr>
        <w:spacing w:after="0" w:line="240" w:lineRule="auto"/>
        <w:rPr>
          <w:rFonts w:cs="Times New Roman"/>
        </w:rPr>
      </w:pPr>
      <w:proofErr w:type="gramStart"/>
      <w:r w:rsidRPr="00CE30A6">
        <w:rPr>
          <w:rFonts w:cs="Times New Roman"/>
          <w:i/>
        </w:rPr>
        <w:t xml:space="preserve">Kentucky Bar Association v. </w:t>
      </w:r>
      <w:proofErr w:type="spellStart"/>
      <w:r w:rsidRPr="00CE30A6">
        <w:rPr>
          <w:rFonts w:cs="Times New Roman"/>
          <w:i/>
        </w:rPr>
        <w:t>Geisler</w:t>
      </w:r>
      <w:proofErr w:type="spellEnd"/>
      <w:r>
        <w:rPr>
          <w:rFonts w:cs="Times New Roman"/>
        </w:rPr>
        <w:t xml:space="preserve">, </w:t>
      </w:r>
      <w:r w:rsidRPr="00CE30A6">
        <w:rPr>
          <w:rFonts w:cs="Times New Roman"/>
        </w:rPr>
        <w:t>938 S.W.2d 578 (Ky. 1997)</w:t>
      </w:r>
      <w:r>
        <w:rPr>
          <w:rFonts w:cs="Times New Roman"/>
        </w:rPr>
        <w:t>.</w:t>
      </w:r>
      <w:proofErr w:type="gramEnd"/>
    </w:p>
    <w:p w14:paraId="4F8BB08D" w14:textId="77777777" w:rsidR="00223D04" w:rsidRDefault="00223D04" w:rsidP="00622140">
      <w:pPr>
        <w:spacing w:after="0" w:line="240" w:lineRule="auto"/>
        <w:rPr>
          <w:rFonts w:cs="Times New Roman"/>
          <w:i/>
        </w:rPr>
      </w:pPr>
    </w:p>
    <w:p w14:paraId="3D00E85D" w14:textId="77777777" w:rsidR="00223D04" w:rsidRDefault="00223D04" w:rsidP="00622140">
      <w:pPr>
        <w:spacing w:after="0" w:line="240" w:lineRule="auto"/>
        <w:rPr>
          <w:rFonts w:cs="Times New Roman"/>
          <w:i/>
        </w:rPr>
      </w:pPr>
      <w:r w:rsidRPr="005B033D">
        <w:rPr>
          <w:rFonts w:cs="Times New Roman"/>
          <w:i/>
        </w:rPr>
        <w:t>People v. Rosen</w:t>
      </w:r>
      <w:r w:rsidRPr="005B033D">
        <w:rPr>
          <w:rFonts w:cs="Times New Roman"/>
        </w:rPr>
        <w:t>, 198 P.3d 116 (Colo. 2008)</w:t>
      </w:r>
    </w:p>
    <w:p w14:paraId="66DF1B23" w14:textId="77777777" w:rsidR="00223D04" w:rsidRDefault="00223D04" w:rsidP="00622140">
      <w:pPr>
        <w:spacing w:after="0" w:line="240" w:lineRule="auto"/>
        <w:rPr>
          <w:rFonts w:cs="Times New Roman"/>
          <w:i/>
        </w:rPr>
      </w:pPr>
    </w:p>
    <w:p w14:paraId="18210860" w14:textId="77777777" w:rsidR="00223D04" w:rsidRPr="007D5F9D" w:rsidRDefault="00223D04" w:rsidP="00622140">
      <w:pPr>
        <w:spacing w:after="0" w:line="240" w:lineRule="auto"/>
        <w:rPr>
          <w:rFonts w:cs="Times New Roman"/>
        </w:rPr>
      </w:pPr>
      <w:proofErr w:type="spellStart"/>
      <w:r>
        <w:rPr>
          <w:rFonts w:cs="Times New Roman"/>
          <w:i/>
        </w:rPr>
        <w:t>Virzi</w:t>
      </w:r>
      <w:proofErr w:type="spellEnd"/>
      <w:r>
        <w:rPr>
          <w:rFonts w:cs="Times New Roman"/>
          <w:i/>
        </w:rPr>
        <w:t xml:space="preserve"> v.</w:t>
      </w:r>
      <w:r w:rsidRPr="007D5F9D">
        <w:rPr>
          <w:rFonts w:cs="Times New Roman"/>
          <w:i/>
        </w:rPr>
        <w:t xml:space="preserve"> Grand Trunk Warehouse &amp; Cold Storage Co</w:t>
      </w:r>
      <w:r>
        <w:rPr>
          <w:rFonts w:cs="Times New Roman"/>
          <w:i/>
        </w:rPr>
        <w:t xml:space="preserve">, </w:t>
      </w:r>
      <w:r w:rsidRPr="007D5F9D">
        <w:rPr>
          <w:rFonts w:cs="Times New Roman"/>
        </w:rPr>
        <w:t>571 F. Supp. 507 (E.D. Mich. 1983)</w:t>
      </w:r>
    </w:p>
    <w:p w14:paraId="464B0B9D" w14:textId="77777777" w:rsidR="00223D04" w:rsidRDefault="00223D04" w:rsidP="00622140">
      <w:pPr>
        <w:spacing w:after="0" w:line="240" w:lineRule="auto"/>
        <w:rPr>
          <w:rFonts w:cs="Times New Roman"/>
          <w:i/>
        </w:rPr>
      </w:pPr>
    </w:p>
    <w:p w14:paraId="48095D7A" w14:textId="77777777" w:rsidR="00223D04" w:rsidRPr="00396EC0" w:rsidRDefault="00223D04" w:rsidP="00622140">
      <w:pPr>
        <w:spacing w:after="0" w:line="240" w:lineRule="auto"/>
        <w:rPr>
          <w:rFonts w:cs="Times New Roman"/>
        </w:rPr>
      </w:pPr>
      <w:r w:rsidRPr="00396EC0">
        <w:rPr>
          <w:rFonts w:cs="Times New Roman"/>
          <w:i/>
        </w:rPr>
        <w:t>Spaulding v</w:t>
      </w:r>
      <w:r>
        <w:rPr>
          <w:rFonts w:cs="Times New Roman"/>
          <w:i/>
        </w:rPr>
        <w:t>.</w:t>
      </w:r>
      <w:r w:rsidRPr="00396EC0">
        <w:rPr>
          <w:rFonts w:cs="Times New Roman"/>
          <w:i/>
        </w:rPr>
        <w:t xml:space="preserve"> Zimmerman</w:t>
      </w:r>
      <w:r w:rsidRPr="00396EC0">
        <w:rPr>
          <w:rFonts w:cs="Times New Roman"/>
        </w:rPr>
        <w:t>, 116 N.W.2d 704 (1962)</w:t>
      </w:r>
    </w:p>
    <w:p w14:paraId="2A53EA30" w14:textId="77777777" w:rsidR="00223D04" w:rsidRDefault="00223D04" w:rsidP="00622140">
      <w:pPr>
        <w:spacing w:after="0" w:line="240" w:lineRule="auto"/>
        <w:rPr>
          <w:rFonts w:cs="Times New Roman"/>
          <w:b/>
          <w:i/>
        </w:rPr>
      </w:pPr>
    </w:p>
    <w:p w14:paraId="059B9545" w14:textId="77777777" w:rsidR="00223D04" w:rsidRPr="0065347D" w:rsidRDefault="00223D04" w:rsidP="00622140">
      <w:pPr>
        <w:spacing w:after="0" w:line="240" w:lineRule="auto"/>
        <w:rPr>
          <w:rFonts w:cs="Times New Roman"/>
          <w:b/>
          <w:i/>
        </w:rPr>
      </w:pPr>
    </w:p>
    <w:p w14:paraId="704BF73F" w14:textId="77777777" w:rsidR="00223D04" w:rsidRPr="0065347D" w:rsidRDefault="00223D04" w:rsidP="00622140">
      <w:pPr>
        <w:spacing w:after="0" w:line="240" w:lineRule="auto"/>
        <w:rPr>
          <w:rFonts w:cs="Times New Roman"/>
          <w:b/>
          <w:i/>
        </w:rPr>
      </w:pPr>
      <w:r w:rsidRPr="0065347D">
        <w:rPr>
          <w:rFonts w:cs="Times New Roman"/>
          <w:b/>
          <w:i/>
        </w:rPr>
        <w:t xml:space="preserve">Other Sources </w:t>
      </w:r>
    </w:p>
    <w:p w14:paraId="2D59147D" w14:textId="77777777" w:rsidR="00223D04" w:rsidRPr="0065347D" w:rsidRDefault="00223D04" w:rsidP="00622140">
      <w:pPr>
        <w:spacing w:after="0" w:line="240" w:lineRule="auto"/>
        <w:rPr>
          <w:rFonts w:cs="Times New Roman"/>
          <w:b/>
          <w:i/>
        </w:rPr>
      </w:pPr>
    </w:p>
    <w:p w14:paraId="4D73C8C4" w14:textId="6925321E" w:rsidR="00223D04" w:rsidRDefault="00223D04" w:rsidP="00622140">
      <w:pPr>
        <w:spacing w:after="0" w:line="240" w:lineRule="auto"/>
        <w:rPr>
          <w:rFonts w:cs="Times New Roman"/>
        </w:rPr>
      </w:pPr>
      <w:r>
        <w:rPr>
          <w:rFonts w:cs="Times New Roman"/>
        </w:rPr>
        <w:t xml:space="preserve">American Bar Association, </w:t>
      </w:r>
      <w:r w:rsidRPr="0065347D">
        <w:rPr>
          <w:rFonts w:cs="Times New Roman"/>
        </w:rPr>
        <w:t xml:space="preserve">Formal Opinion 06-439, </w:t>
      </w:r>
      <w:r w:rsidRPr="0065347D">
        <w:rPr>
          <w:rFonts w:cs="Times New Roman"/>
          <w:i/>
        </w:rPr>
        <w:t xml:space="preserve">Lawyers Obligations of Truthfulness When Representing a Client in Negotiation: Application to Caucused Mediation </w:t>
      </w:r>
      <w:r>
        <w:rPr>
          <w:rFonts w:cs="Times New Roman"/>
        </w:rPr>
        <w:t>(</w:t>
      </w:r>
      <w:r w:rsidRPr="0065347D">
        <w:rPr>
          <w:rFonts w:cs="Times New Roman"/>
        </w:rPr>
        <w:t>2006)</w:t>
      </w:r>
    </w:p>
    <w:p w14:paraId="6DE9DA5F" w14:textId="77777777" w:rsidR="00223D04" w:rsidRDefault="00223D04" w:rsidP="00622140">
      <w:pPr>
        <w:spacing w:after="0" w:line="240" w:lineRule="auto"/>
        <w:rPr>
          <w:rFonts w:cs="Times New Roman"/>
        </w:rPr>
      </w:pPr>
    </w:p>
    <w:p w14:paraId="3F6B602E" w14:textId="77777777" w:rsidR="00223D04" w:rsidRDefault="00223D04" w:rsidP="00622140">
      <w:pPr>
        <w:spacing w:after="0" w:line="240" w:lineRule="auto"/>
        <w:rPr>
          <w:rFonts w:cs="Times New Roman"/>
        </w:rPr>
      </w:pPr>
      <w:r>
        <w:rPr>
          <w:rFonts w:cs="Times New Roman"/>
        </w:rPr>
        <w:t xml:space="preserve">American Bar Association, Formal Ethics Opinion </w:t>
      </w:r>
      <w:r w:rsidRPr="007D5F9D">
        <w:rPr>
          <w:rFonts w:cs="Times New Roman"/>
        </w:rPr>
        <w:t>94-397</w:t>
      </w:r>
      <w:r>
        <w:rPr>
          <w:rFonts w:cs="Times New Roman"/>
        </w:rPr>
        <w:t xml:space="preserve">, </w:t>
      </w:r>
      <w:r w:rsidRPr="007D5F9D">
        <w:rPr>
          <w:rFonts w:cs="Times New Roman"/>
          <w:i/>
        </w:rPr>
        <w:t>Duty to Disclose Death of Client</w:t>
      </w:r>
      <w:r>
        <w:rPr>
          <w:rFonts w:cs="Times New Roman"/>
        </w:rPr>
        <w:t xml:space="preserve"> (1995)</w:t>
      </w:r>
    </w:p>
    <w:p w14:paraId="15558D52" w14:textId="77777777" w:rsidR="00223D04" w:rsidRDefault="00223D04" w:rsidP="00622140">
      <w:pPr>
        <w:spacing w:after="0" w:line="240" w:lineRule="auto"/>
        <w:rPr>
          <w:rFonts w:cs="Times New Roman"/>
        </w:rPr>
      </w:pPr>
    </w:p>
    <w:p w14:paraId="0E1B36A5" w14:textId="77777777" w:rsidR="00223D04" w:rsidRPr="002D6873" w:rsidRDefault="00223D04" w:rsidP="00622140">
      <w:pPr>
        <w:spacing w:after="0" w:line="240" w:lineRule="auto"/>
        <w:rPr>
          <w:rFonts w:cs="Times New Roman"/>
        </w:rPr>
      </w:pPr>
      <w:r>
        <w:rPr>
          <w:rFonts w:cs="Times New Roman"/>
        </w:rPr>
        <w:t xml:space="preserve">American Bar Association, Formal Opinion </w:t>
      </w:r>
      <w:r w:rsidRPr="002D6873">
        <w:rPr>
          <w:rFonts w:cs="Times New Roman"/>
        </w:rPr>
        <w:t>94-387</w:t>
      </w:r>
      <w:r>
        <w:rPr>
          <w:rFonts w:cs="Times New Roman"/>
        </w:rPr>
        <w:t xml:space="preserve">, </w:t>
      </w:r>
      <w:r w:rsidRPr="002D6873">
        <w:rPr>
          <w:rFonts w:cs="Times New Roman"/>
          <w:i/>
        </w:rPr>
        <w:t>Disclosure to Opposing Party and Court That Stature of Limitations Has Run</w:t>
      </w:r>
      <w:r>
        <w:rPr>
          <w:rFonts w:cs="Times New Roman"/>
        </w:rPr>
        <w:t xml:space="preserve"> (1994).</w:t>
      </w:r>
    </w:p>
    <w:p w14:paraId="450BFFBA" w14:textId="77777777" w:rsidR="00223D04" w:rsidRPr="0065347D" w:rsidRDefault="00223D04" w:rsidP="00622140">
      <w:pPr>
        <w:spacing w:after="0" w:line="240" w:lineRule="auto"/>
        <w:rPr>
          <w:rFonts w:cs="Times New Roman"/>
        </w:rPr>
      </w:pPr>
    </w:p>
    <w:p w14:paraId="785E6DB7" w14:textId="2CDE1A18" w:rsidR="00223D04" w:rsidRPr="0065347D" w:rsidRDefault="00223D04" w:rsidP="00622140">
      <w:pPr>
        <w:spacing w:after="0" w:line="240" w:lineRule="auto"/>
        <w:rPr>
          <w:rFonts w:cs="Times New Roman"/>
        </w:rPr>
      </w:pPr>
      <w:r w:rsidRPr="0065347D">
        <w:rPr>
          <w:rFonts w:cs="Times New Roman"/>
        </w:rPr>
        <w:t xml:space="preserve">American Bar Association, </w:t>
      </w:r>
      <w:r w:rsidRPr="0065347D">
        <w:rPr>
          <w:rFonts w:cs="Times New Roman"/>
          <w:i/>
        </w:rPr>
        <w:t xml:space="preserve">Annotated Model Rules of Professional Conduct </w:t>
      </w:r>
      <w:r w:rsidRPr="0065347D">
        <w:rPr>
          <w:rFonts w:cs="Times New Roman"/>
        </w:rPr>
        <w:t>(8</w:t>
      </w:r>
      <w:r w:rsidRPr="0065347D">
        <w:rPr>
          <w:rFonts w:cs="Times New Roman"/>
          <w:vertAlign w:val="superscript"/>
        </w:rPr>
        <w:t>th</w:t>
      </w:r>
      <w:r w:rsidRPr="0065347D">
        <w:rPr>
          <w:rFonts w:cs="Times New Roman"/>
        </w:rPr>
        <w:t xml:space="preserve"> </w:t>
      </w:r>
      <w:proofErr w:type="spellStart"/>
      <w:proofErr w:type="gramStart"/>
      <w:r w:rsidRPr="0065347D">
        <w:rPr>
          <w:rFonts w:cs="Times New Roman"/>
        </w:rPr>
        <w:t>ed</w:t>
      </w:r>
      <w:proofErr w:type="spellEnd"/>
      <w:proofErr w:type="gramEnd"/>
      <w:r w:rsidRPr="0065347D">
        <w:rPr>
          <w:rFonts w:cs="Times New Roman"/>
        </w:rPr>
        <w:t>, 2015)</w:t>
      </w:r>
    </w:p>
    <w:p w14:paraId="59A3FBF1" w14:textId="77777777" w:rsidR="00223D04" w:rsidRPr="0065347D" w:rsidRDefault="00223D04" w:rsidP="00622140">
      <w:pPr>
        <w:spacing w:after="0" w:line="240" w:lineRule="auto"/>
        <w:rPr>
          <w:rFonts w:cs="Times New Roman"/>
        </w:rPr>
      </w:pPr>
    </w:p>
    <w:p w14:paraId="03052D23" w14:textId="14EBD544" w:rsidR="00223D04" w:rsidRPr="0065347D" w:rsidRDefault="00223D04" w:rsidP="00622140">
      <w:pPr>
        <w:spacing w:after="0" w:line="240" w:lineRule="auto"/>
        <w:rPr>
          <w:rFonts w:cs="Times New Roman"/>
        </w:rPr>
      </w:pPr>
      <w:r w:rsidRPr="0065347D">
        <w:rPr>
          <w:rFonts w:cs="Times New Roman"/>
        </w:rPr>
        <w:t xml:space="preserve">American Bar Association, </w:t>
      </w:r>
      <w:r w:rsidRPr="0065347D">
        <w:rPr>
          <w:rFonts w:cs="Times New Roman"/>
          <w:i/>
        </w:rPr>
        <w:t xml:space="preserve">Ethical Guidelines for Settlement Negotiations </w:t>
      </w:r>
      <w:r w:rsidRPr="0065347D">
        <w:rPr>
          <w:rFonts w:cs="Times New Roman"/>
        </w:rPr>
        <w:t>(August, 2002)</w:t>
      </w:r>
    </w:p>
    <w:p w14:paraId="78A1505C" w14:textId="77777777" w:rsidR="00223D04" w:rsidRPr="0065347D" w:rsidRDefault="00223D04" w:rsidP="00622140">
      <w:pPr>
        <w:spacing w:after="0" w:line="240" w:lineRule="auto"/>
        <w:rPr>
          <w:rFonts w:cs="Times New Roman"/>
        </w:rPr>
      </w:pPr>
    </w:p>
    <w:p w14:paraId="5F94BF8D" w14:textId="77777777" w:rsidR="00223D04" w:rsidRPr="005B033D" w:rsidRDefault="00223D04" w:rsidP="00622140">
      <w:pPr>
        <w:spacing w:after="0" w:line="240" w:lineRule="auto"/>
        <w:rPr>
          <w:rFonts w:cs="Times New Roman"/>
          <w:i/>
        </w:rPr>
      </w:pPr>
      <w:r>
        <w:rPr>
          <w:rFonts w:cs="Times New Roman"/>
        </w:rPr>
        <w:t>Illinoi State Bar Association, Advisory Opinion on Professional Conduct, Opinion 96-03 (1996)</w:t>
      </w:r>
    </w:p>
    <w:p w14:paraId="688564CE" w14:textId="77777777" w:rsidR="00223D04" w:rsidRDefault="00223D04" w:rsidP="00622140">
      <w:pPr>
        <w:spacing w:after="0" w:line="240" w:lineRule="auto"/>
        <w:rPr>
          <w:rFonts w:cs="Times New Roman"/>
        </w:rPr>
      </w:pPr>
    </w:p>
    <w:p w14:paraId="607911D8" w14:textId="77777777" w:rsidR="00223D04" w:rsidRDefault="00223D04" w:rsidP="00622140">
      <w:pPr>
        <w:spacing w:after="0" w:line="240" w:lineRule="auto"/>
        <w:rPr>
          <w:rFonts w:cs="Times New Roman"/>
        </w:rPr>
      </w:pPr>
      <w:r>
        <w:rPr>
          <w:rFonts w:cs="Times New Roman"/>
        </w:rPr>
        <w:t xml:space="preserve">Pennsylvania Bar Association Committee on Legal Ethics and Professional Responsibly, Informal Opinion </w:t>
      </w:r>
      <w:r w:rsidRPr="007D5F9D">
        <w:rPr>
          <w:rFonts w:cs="Times New Roman"/>
        </w:rPr>
        <w:t>93-51</w:t>
      </w:r>
      <w:r>
        <w:rPr>
          <w:rFonts w:cs="Times New Roman"/>
        </w:rPr>
        <w:t xml:space="preserve"> (1993)</w:t>
      </w:r>
    </w:p>
    <w:p w14:paraId="1FAE7199" w14:textId="77777777" w:rsidR="00223D04" w:rsidRDefault="00223D04" w:rsidP="00622140">
      <w:pPr>
        <w:spacing w:after="0" w:line="240" w:lineRule="auto"/>
        <w:rPr>
          <w:rFonts w:cs="Times New Roman"/>
        </w:rPr>
      </w:pPr>
    </w:p>
    <w:p w14:paraId="0248C42A" w14:textId="77777777" w:rsidR="00223D04" w:rsidRPr="007D5F9D" w:rsidRDefault="00223D04" w:rsidP="00622140">
      <w:pPr>
        <w:spacing w:after="0" w:line="240" w:lineRule="auto"/>
        <w:rPr>
          <w:rFonts w:cs="Times New Roman"/>
        </w:rPr>
      </w:pPr>
      <w:r>
        <w:rPr>
          <w:rFonts w:cs="Times New Roman"/>
        </w:rPr>
        <w:t>Virginia Bar Association Standing Committee on Legal Ethics, Opinion 952 (1987)</w:t>
      </w:r>
    </w:p>
    <w:p w14:paraId="3C9A40F8" w14:textId="77777777" w:rsidR="00223D04" w:rsidRPr="0065347D" w:rsidRDefault="00223D04" w:rsidP="00622140">
      <w:pPr>
        <w:spacing w:after="0" w:line="240" w:lineRule="auto"/>
        <w:rPr>
          <w:rFonts w:cs="Times New Roman"/>
        </w:rPr>
      </w:pPr>
    </w:p>
    <w:p w14:paraId="04BB4F67" w14:textId="77777777" w:rsidR="00223D04" w:rsidRPr="0065347D" w:rsidRDefault="00223D04" w:rsidP="00622140">
      <w:pPr>
        <w:spacing w:after="0" w:line="240" w:lineRule="auto"/>
        <w:rPr>
          <w:rFonts w:cs="Times New Roman"/>
        </w:rPr>
      </w:pPr>
    </w:p>
    <w:p w14:paraId="20E1DCB7" w14:textId="77777777" w:rsidR="00223D04" w:rsidRPr="0065347D" w:rsidRDefault="00223D04" w:rsidP="00622140">
      <w:pPr>
        <w:spacing w:after="0" w:line="240" w:lineRule="auto"/>
        <w:rPr>
          <w:rFonts w:cs="Times New Roman"/>
        </w:rPr>
      </w:pPr>
    </w:p>
    <w:p w14:paraId="13DD1819" w14:textId="77777777" w:rsidR="00223D04" w:rsidRPr="0065347D" w:rsidRDefault="00223D04" w:rsidP="00622140">
      <w:pPr>
        <w:spacing w:after="0" w:line="240" w:lineRule="auto"/>
        <w:rPr>
          <w:rFonts w:cs="Times New Roman"/>
        </w:rPr>
      </w:pPr>
    </w:p>
    <w:p w14:paraId="23F232BA" w14:textId="77777777" w:rsidR="00223D04" w:rsidRPr="0065347D" w:rsidRDefault="00223D04" w:rsidP="00622140">
      <w:pPr>
        <w:spacing w:after="0" w:line="240" w:lineRule="auto"/>
        <w:rPr>
          <w:rFonts w:cs="Times New Roman"/>
        </w:rPr>
      </w:pPr>
    </w:p>
    <w:p w14:paraId="79BAD1CB" w14:textId="77777777" w:rsidR="00223D04" w:rsidRPr="000454D4" w:rsidRDefault="00223D04" w:rsidP="00622140">
      <w:pPr>
        <w:spacing w:after="0" w:line="240" w:lineRule="auto"/>
        <w:ind w:firstLine="454"/>
        <w:rPr>
          <w:rFonts w:cs="Times New Roman"/>
          <w:b/>
          <w:bCs/>
          <w:smallCaps/>
          <w:sz w:val="28"/>
          <w:szCs w:val="28"/>
        </w:rPr>
      </w:pPr>
    </w:p>
    <w:p w14:paraId="7844CBCA" w14:textId="77777777" w:rsidR="000454D4" w:rsidRDefault="000454D4" w:rsidP="00622140">
      <w:pPr>
        <w:spacing w:after="0" w:line="240" w:lineRule="auto"/>
        <w:ind w:firstLine="454"/>
        <w:jc w:val="both"/>
        <w:rPr>
          <w:rFonts w:cs="Times New Roman"/>
        </w:rPr>
      </w:pPr>
    </w:p>
    <w:p w14:paraId="4327609B" w14:textId="100C6767" w:rsidR="00D9419C" w:rsidRPr="00B1335B" w:rsidRDefault="00D9419C" w:rsidP="00622140">
      <w:pPr>
        <w:pStyle w:val="Heading1"/>
        <w:numPr>
          <w:ilvl w:val="0"/>
          <w:numId w:val="0"/>
        </w:numPr>
        <w:spacing w:before="0" w:line="240" w:lineRule="auto"/>
        <w:jc w:val="center"/>
      </w:pPr>
    </w:p>
    <w:sectPr w:rsidR="00D9419C" w:rsidRPr="00B1335B" w:rsidSect="00622140">
      <w:footerReference w:type="even" r:id="rId8"/>
      <w:footerReference w:type="default" r:id="rId9"/>
      <w:pgSz w:w="10080" w:h="14400"/>
      <w:pgMar w:top="1440" w:right="1800" w:bottom="1440" w:left="1800" w:header="432"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78AF43" w14:textId="77777777" w:rsidR="00DA1B84" w:rsidRDefault="00DA1B84" w:rsidP="003D09B2">
      <w:pPr>
        <w:spacing w:line="240" w:lineRule="auto"/>
      </w:pPr>
      <w:r>
        <w:separator/>
      </w:r>
    </w:p>
  </w:endnote>
  <w:endnote w:type="continuationSeparator" w:id="0">
    <w:p w14:paraId="2037730F" w14:textId="77777777" w:rsidR="00DA1B84" w:rsidRDefault="00DA1B84" w:rsidP="003D09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swiss"/>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16F7D" w14:textId="77777777" w:rsidR="00A961D9" w:rsidRDefault="00A961D9" w:rsidP="003D09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5C1012" w14:textId="77777777" w:rsidR="00A961D9" w:rsidRDefault="00A961D9" w:rsidP="003D09B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388FB" w14:textId="77777777" w:rsidR="00A961D9" w:rsidRDefault="00A961D9" w:rsidP="003D09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19DB">
      <w:rPr>
        <w:rStyle w:val="PageNumber"/>
        <w:noProof/>
      </w:rPr>
      <w:t>24</w:t>
    </w:r>
    <w:r>
      <w:rPr>
        <w:rStyle w:val="PageNumber"/>
      </w:rPr>
      <w:fldChar w:fldCharType="end"/>
    </w:r>
  </w:p>
  <w:p w14:paraId="6B81EBE4" w14:textId="77777777" w:rsidR="00A961D9" w:rsidRDefault="00A961D9" w:rsidP="003D09B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F99268" w14:textId="77777777" w:rsidR="00DA1B84" w:rsidRDefault="00DA1B84" w:rsidP="003D09B2">
      <w:pPr>
        <w:spacing w:line="240" w:lineRule="auto"/>
      </w:pPr>
      <w:r>
        <w:separator/>
      </w:r>
    </w:p>
  </w:footnote>
  <w:footnote w:type="continuationSeparator" w:id="0">
    <w:p w14:paraId="01547311" w14:textId="77777777" w:rsidR="00DA1B84" w:rsidRDefault="00DA1B84" w:rsidP="003D09B2">
      <w:pPr>
        <w:spacing w:line="240" w:lineRule="auto"/>
      </w:pPr>
      <w:r>
        <w:continuationSeparator/>
      </w:r>
    </w:p>
  </w:footnote>
  <w:footnote w:id="1">
    <w:p w14:paraId="02F05FED" w14:textId="7F7E12F1" w:rsidR="00A961D9" w:rsidRPr="00B774EB" w:rsidRDefault="00A961D9" w:rsidP="008F541E">
      <w:pPr>
        <w:pStyle w:val="FootnoteText"/>
        <w:spacing w:after="0"/>
        <w:rPr>
          <w:rFonts w:cs="Times New Roman"/>
          <w:sz w:val="20"/>
          <w:szCs w:val="20"/>
        </w:rPr>
      </w:pPr>
      <w:r w:rsidRPr="00B774EB">
        <w:rPr>
          <w:rStyle w:val="FootnoteReference"/>
          <w:rFonts w:cs="Times New Roman"/>
          <w:sz w:val="20"/>
          <w:szCs w:val="20"/>
        </w:rPr>
        <w:footnoteRef/>
      </w:r>
      <w:r w:rsidRPr="00B774EB">
        <w:rPr>
          <w:rFonts w:cs="Times New Roman"/>
          <w:sz w:val="20"/>
          <w:szCs w:val="20"/>
        </w:rPr>
        <w:t xml:space="preserve"> See, </w:t>
      </w:r>
      <w:proofErr w:type="spellStart"/>
      <w:r w:rsidRPr="00B774EB">
        <w:rPr>
          <w:rFonts w:cs="Times New Roman"/>
          <w:sz w:val="20"/>
          <w:szCs w:val="20"/>
        </w:rPr>
        <w:t>eg</w:t>
      </w:r>
      <w:proofErr w:type="spellEnd"/>
      <w:r w:rsidRPr="00B774EB">
        <w:rPr>
          <w:rFonts w:cs="Times New Roman"/>
          <w:sz w:val="20"/>
          <w:szCs w:val="20"/>
        </w:rPr>
        <w:t xml:space="preserve">, the American Bar Association’s </w:t>
      </w:r>
      <w:r w:rsidRPr="00B774EB">
        <w:rPr>
          <w:rFonts w:cs="Times New Roman"/>
          <w:i/>
          <w:sz w:val="20"/>
          <w:szCs w:val="20"/>
        </w:rPr>
        <w:t>Model Standards of Conduct for Mediators</w:t>
      </w:r>
      <w:r w:rsidRPr="00B774EB">
        <w:rPr>
          <w:rFonts w:cs="Times New Roman"/>
          <w:sz w:val="20"/>
          <w:szCs w:val="20"/>
        </w:rPr>
        <w:t xml:space="preserve">. See, further, James Lawrence, “Lying, Misrepresenting, Puffing and Bluffing: Legal, Ethical and Professional Standards for Negotiators and Mediation Advocates” (2014) 29 </w:t>
      </w:r>
      <w:r w:rsidRPr="00B774EB">
        <w:rPr>
          <w:rFonts w:cs="Times New Roman"/>
          <w:i/>
          <w:sz w:val="20"/>
          <w:szCs w:val="20"/>
        </w:rPr>
        <w:t xml:space="preserve">Ohio State Journal on Dispute Resolution </w:t>
      </w:r>
      <w:r w:rsidRPr="00B774EB">
        <w:rPr>
          <w:rFonts w:cs="Times New Roman"/>
          <w:sz w:val="20"/>
          <w:szCs w:val="20"/>
        </w:rPr>
        <w:t xml:space="preserve">35, 52-57. </w:t>
      </w:r>
    </w:p>
  </w:footnote>
  <w:footnote w:id="2">
    <w:p w14:paraId="7BD12486" w14:textId="605F8C8F" w:rsidR="00A961D9" w:rsidRPr="00B774EB" w:rsidRDefault="00A961D9" w:rsidP="008F541E">
      <w:pPr>
        <w:pStyle w:val="FootnoteText"/>
        <w:spacing w:after="0"/>
        <w:rPr>
          <w:rFonts w:cs="Times New Roman"/>
          <w:sz w:val="20"/>
          <w:szCs w:val="20"/>
        </w:rPr>
      </w:pPr>
      <w:r w:rsidRPr="00B774EB">
        <w:rPr>
          <w:rStyle w:val="FootnoteReference"/>
          <w:rFonts w:cs="Times New Roman"/>
          <w:sz w:val="20"/>
          <w:szCs w:val="20"/>
        </w:rPr>
        <w:footnoteRef/>
      </w:r>
      <w:r w:rsidRPr="00B774EB">
        <w:rPr>
          <w:rFonts w:cs="Times New Roman"/>
          <w:sz w:val="20"/>
          <w:szCs w:val="20"/>
        </w:rPr>
        <w:t xml:space="preserve"> See, </w:t>
      </w:r>
      <w:proofErr w:type="spellStart"/>
      <w:r w:rsidRPr="00B774EB">
        <w:rPr>
          <w:rFonts w:cs="Times New Roman"/>
          <w:sz w:val="20"/>
          <w:szCs w:val="20"/>
        </w:rPr>
        <w:t>eg</w:t>
      </w:r>
      <w:proofErr w:type="spellEnd"/>
      <w:r w:rsidRPr="00B774EB">
        <w:rPr>
          <w:rFonts w:cs="Times New Roman"/>
          <w:sz w:val="20"/>
          <w:szCs w:val="20"/>
        </w:rPr>
        <w:t xml:space="preserve">, Bruce </w:t>
      </w:r>
      <w:proofErr w:type="spellStart"/>
      <w:r w:rsidRPr="00B774EB">
        <w:rPr>
          <w:rFonts w:cs="Times New Roman"/>
          <w:sz w:val="20"/>
          <w:szCs w:val="20"/>
        </w:rPr>
        <w:t>Meyerson</w:t>
      </w:r>
      <w:proofErr w:type="spellEnd"/>
      <w:r w:rsidRPr="00B774EB">
        <w:rPr>
          <w:rFonts w:cs="Times New Roman"/>
          <w:sz w:val="20"/>
          <w:szCs w:val="20"/>
        </w:rPr>
        <w:t xml:space="preserve">, “Telling the Truth in Mediation: Mediator Owed Duty of Candor” (1997) 4 </w:t>
      </w:r>
      <w:r w:rsidRPr="00B774EB">
        <w:rPr>
          <w:rFonts w:cs="Times New Roman"/>
          <w:i/>
          <w:sz w:val="20"/>
          <w:szCs w:val="20"/>
        </w:rPr>
        <w:t xml:space="preserve">Dispute Resolution Magazine </w:t>
      </w:r>
      <w:r w:rsidRPr="00B774EB">
        <w:rPr>
          <w:rFonts w:cs="Times New Roman"/>
          <w:sz w:val="20"/>
          <w:szCs w:val="20"/>
        </w:rPr>
        <w:t xml:space="preserve">17; John Cooley, “Defining the Ethical Limits of Acceptable Deception in Mediation” (2004) 4(2) </w:t>
      </w:r>
      <w:r w:rsidRPr="00B774EB">
        <w:rPr>
          <w:rFonts w:cs="Times New Roman"/>
          <w:i/>
          <w:sz w:val="20"/>
          <w:szCs w:val="20"/>
        </w:rPr>
        <w:t>Pepperdine Dispute Resolution Law Journal</w:t>
      </w:r>
      <w:r w:rsidRPr="00B774EB">
        <w:rPr>
          <w:rFonts w:cs="Times New Roman"/>
          <w:sz w:val="20"/>
          <w:szCs w:val="20"/>
        </w:rPr>
        <w:t xml:space="preserve"> 263; Don Peters, “When Lawyers Move Their Lips: Attorney Truthfulness in Mediation and a Modest Proposal” (2007) </w:t>
      </w:r>
      <w:r w:rsidRPr="00B774EB">
        <w:rPr>
          <w:rFonts w:cs="Times New Roman"/>
          <w:i/>
          <w:sz w:val="20"/>
          <w:szCs w:val="20"/>
        </w:rPr>
        <w:t>Journal of Dispute Resolution</w:t>
      </w:r>
      <w:r w:rsidRPr="00B774EB">
        <w:rPr>
          <w:rFonts w:cs="Times New Roman"/>
          <w:sz w:val="20"/>
          <w:szCs w:val="20"/>
        </w:rPr>
        <w:t xml:space="preserve"> 119.</w:t>
      </w:r>
    </w:p>
  </w:footnote>
  <w:footnote w:id="3">
    <w:p w14:paraId="21084FF8" w14:textId="39B3E997" w:rsidR="00A961D9" w:rsidRPr="00B774EB" w:rsidRDefault="00A961D9" w:rsidP="008F541E">
      <w:pPr>
        <w:pStyle w:val="FootnoteText"/>
        <w:spacing w:after="0"/>
        <w:rPr>
          <w:rFonts w:cs="Times New Roman"/>
          <w:sz w:val="20"/>
          <w:szCs w:val="20"/>
        </w:rPr>
      </w:pPr>
      <w:r w:rsidRPr="00B774EB">
        <w:rPr>
          <w:rStyle w:val="FootnoteReference"/>
          <w:rFonts w:cs="Times New Roman"/>
          <w:sz w:val="20"/>
          <w:szCs w:val="20"/>
        </w:rPr>
        <w:footnoteRef/>
      </w:r>
      <w:r w:rsidRPr="00B774EB">
        <w:rPr>
          <w:rFonts w:cs="Times New Roman"/>
          <w:sz w:val="20"/>
          <w:szCs w:val="20"/>
        </w:rPr>
        <w:t xml:space="preserve"> Robert Burns, “Some Ethical Issues Surrounding Mediation” (2001) 70(3) </w:t>
      </w:r>
      <w:r w:rsidRPr="00B774EB">
        <w:rPr>
          <w:rFonts w:cs="Times New Roman"/>
          <w:i/>
          <w:sz w:val="20"/>
          <w:szCs w:val="20"/>
        </w:rPr>
        <w:t>Fordham Law Review</w:t>
      </w:r>
      <w:r w:rsidRPr="00B774EB">
        <w:rPr>
          <w:rFonts w:cs="Times New Roman"/>
          <w:sz w:val="20"/>
          <w:szCs w:val="20"/>
        </w:rPr>
        <w:t xml:space="preserve"> 691, 692. </w:t>
      </w:r>
    </w:p>
  </w:footnote>
  <w:footnote w:id="4">
    <w:p w14:paraId="4D723129" w14:textId="4984E093" w:rsidR="00A961D9" w:rsidRPr="00B774EB" w:rsidRDefault="00A961D9" w:rsidP="008F541E">
      <w:pPr>
        <w:pStyle w:val="FootnoteText"/>
        <w:spacing w:after="0"/>
        <w:rPr>
          <w:rFonts w:cs="Times New Roman"/>
          <w:sz w:val="20"/>
          <w:szCs w:val="20"/>
        </w:rPr>
      </w:pPr>
      <w:r w:rsidRPr="00B774EB">
        <w:rPr>
          <w:rStyle w:val="FootnoteReference"/>
          <w:rFonts w:cs="Times New Roman"/>
          <w:sz w:val="20"/>
          <w:szCs w:val="20"/>
        </w:rPr>
        <w:footnoteRef/>
      </w:r>
      <w:r w:rsidRPr="00B774EB">
        <w:rPr>
          <w:rFonts w:cs="Times New Roman"/>
          <w:sz w:val="20"/>
          <w:szCs w:val="20"/>
        </w:rPr>
        <w:t xml:space="preserve"> Barry </w:t>
      </w:r>
      <w:proofErr w:type="spellStart"/>
      <w:r w:rsidRPr="00B774EB">
        <w:rPr>
          <w:rFonts w:cs="Times New Roman"/>
          <w:sz w:val="20"/>
          <w:szCs w:val="20"/>
        </w:rPr>
        <w:t>Temkin</w:t>
      </w:r>
      <w:proofErr w:type="spellEnd"/>
      <w:r w:rsidRPr="00B774EB">
        <w:rPr>
          <w:rFonts w:cs="Times New Roman"/>
          <w:sz w:val="20"/>
          <w:szCs w:val="20"/>
        </w:rPr>
        <w:t xml:space="preserve">, “Misrepresentation by Omission in Settlement Negotiations: Should There Be a Silent Safe Harbor?” </w:t>
      </w:r>
      <w:proofErr w:type="gramStart"/>
      <w:r w:rsidRPr="00B774EB">
        <w:rPr>
          <w:rFonts w:cs="Times New Roman"/>
          <w:sz w:val="20"/>
          <w:szCs w:val="20"/>
        </w:rPr>
        <w:t xml:space="preserve">(2004) 18 </w:t>
      </w:r>
      <w:r w:rsidRPr="00B774EB">
        <w:rPr>
          <w:rFonts w:cs="Times New Roman"/>
          <w:i/>
          <w:sz w:val="20"/>
          <w:szCs w:val="20"/>
        </w:rPr>
        <w:t>Georgetown Journal of Legal Ethics</w:t>
      </w:r>
      <w:r w:rsidRPr="00B774EB">
        <w:rPr>
          <w:rFonts w:cs="Times New Roman"/>
          <w:sz w:val="20"/>
          <w:szCs w:val="20"/>
        </w:rPr>
        <w:t xml:space="preserve"> 179, 181.</w:t>
      </w:r>
      <w:proofErr w:type="gramEnd"/>
    </w:p>
  </w:footnote>
  <w:footnote w:id="5">
    <w:p w14:paraId="5E7FE8EB" w14:textId="5D1135C5" w:rsidR="00A961D9" w:rsidRPr="00B774EB" w:rsidRDefault="00A961D9" w:rsidP="008F541E">
      <w:pPr>
        <w:pStyle w:val="FootnoteText"/>
        <w:spacing w:after="0"/>
        <w:rPr>
          <w:rFonts w:cs="Times New Roman"/>
          <w:i/>
          <w:sz w:val="20"/>
          <w:szCs w:val="20"/>
        </w:rPr>
      </w:pPr>
      <w:r w:rsidRPr="00B774EB">
        <w:rPr>
          <w:rStyle w:val="FootnoteReference"/>
          <w:rFonts w:cs="Times New Roman"/>
          <w:sz w:val="20"/>
          <w:szCs w:val="20"/>
        </w:rPr>
        <w:footnoteRef/>
      </w:r>
      <w:r w:rsidRPr="00B774EB">
        <w:rPr>
          <w:rFonts w:cs="Times New Roman"/>
          <w:sz w:val="20"/>
          <w:szCs w:val="20"/>
        </w:rPr>
        <w:t xml:space="preserve"> John </w:t>
      </w:r>
      <w:proofErr w:type="spellStart"/>
      <w:r w:rsidRPr="00B774EB">
        <w:rPr>
          <w:rFonts w:cs="Times New Roman"/>
          <w:sz w:val="20"/>
          <w:szCs w:val="20"/>
        </w:rPr>
        <w:t>Tarlow</w:t>
      </w:r>
      <w:proofErr w:type="spellEnd"/>
      <w:r w:rsidRPr="00B774EB">
        <w:rPr>
          <w:rFonts w:cs="Times New Roman"/>
          <w:sz w:val="20"/>
          <w:szCs w:val="20"/>
        </w:rPr>
        <w:t xml:space="preserve"> and Charles Sink, “In Defense of Lying: The Ethics of Deception in Mediation” (2015) </w:t>
      </w:r>
      <w:r w:rsidRPr="00B774EB">
        <w:rPr>
          <w:rFonts w:cs="Times New Roman"/>
          <w:i/>
          <w:sz w:val="20"/>
          <w:szCs w:val="20"/>
        </w:rPr>
        <w:t>American Bar Association</w:t>
      </w:r>
      <w:r w:rsidRPr="00B774EB">
        <w:rPr>
          <w:rFonts w:cs="Times New Roman"/>
          <w:sz w:val="20"/>
          <w:szCs w:val="20"/>
        </w:rPr>
        <w:t xml:space="preserve">, presented at the Fall Meeting of the Forum on Construction Law, October 8-9 2015, 3 </w:t>
      </w:r>
    </w:p>
  </w:footnote>
  <w:footnote w:id="6">
    <w:p w14:paraId="7472A1ED" w14:textId="10F0A53C" w:rsidR="00A961D9" w:rsidRPr="00B774EB" w:rsidRDefault="00A961D9" w:rsidP="008F541E">
      <w:pPr>
        <w:pStyle w:val="FootnoteText"/>
        <w:spacing w:after="0"/>
        <w:rPr>
          <w:rFonts w:cs="Times New Roman"/>
          <w:sz w:val="20"/>
          <w:szCs w:val="20"/>
        </w:rPr>
      </w:pPr>
      <w:r w:rsidRPr="00B774EB">
        <w:rPr>
          <w:rStyle w:val="FootnoteReference"/>
          <w:rFonts w:cs="Times New Roman"/>
          <w:sz w:val="20"/>
          <w:szCs w:val="20"/>
        </w:rPr>
        <w:footnoteRef/>
      </w:r>
      <w:r w:rsidRPr="00B774EB">
        <w:rPr>
          <w:rFonts w:cs="Times New Roman"/>
          <w:sz w:val="20"/>
          <w:szCs w:val="20"/>
        </w:rPr>
        <w:t xml:space="preserve"> </w:t>
      </w:r>
      <w:proofErr w:type="spellStart"/>
      <w:r w:rsidRPr="00B774EB">
        <w:rPr>
          <w:rFonts w:cs="Times New Roman"/>
          <w:sz w:val="20"/>
          <w:szCs w:val="20"/>
        </w:rPr>
        <w:t>Temkin</w:t>
      </w:r>
      <w:proofErr w:type="spellEnd"/>
      <w:r w:rsidRPr="00B774EB">
        <w:rPr>
          <w:rFonts w:cs="Times New Roman"/>
          <w:sz w:val="20"/>
          <w:szCs w:val="20"/>
        </w:rPr>
        <w:t xml:space="preserve">, above n 4, 182, paraphrasing Michael Rubin, “The Ethics of Negotiations: Are There Any?” </w:t>
      </w:r>
      <w:proofErr w:type="gramStart"/>
      <w:r w:rsidRPr="00B774EB">
        <w:rPr>
          <w:rFonts w:cs="Times New Roman"/>
          <w:sz w:val="20"/>
          <w:szCs w:val="20"/>
        </w:rPr>
        <w:t xml:space="preserve">(1995) 56 </w:t>
      </w:r>
      <w:r w:rsidRPr="00B774EB">
        <w:rPr>
          <w:rFonts w:cs="Times New Roman"/>
          <w:i/>
          <w:sz w:val="20"/>
          <w:szCs w:val="20"/>
        </w:rPr>
        <w:t xml:space="preserve">Louisiana Law Review </w:t>
      </w:r>
      <w:r w:rsidRPr="00B774EB">
        <w:rPr>
          <w:rFonts w:cs="Times New Roman"/>
          <w:sz w:val="20"/>
          <w:szCs w:val="20"/>
        </w:rPr>
        <w:t>447.</w:t>
      </w:r>
      <w:proofErr w:type="gramEnd"/>
      <w:r w:rsidRPr="00B774EB">
        <w:rPr>
          <w:rFonts w:cs="Times New Roman"/>
          <w:sz w:val="20"/>
          <w:szCs w:val="20"/>
        </w:rPr>
        <w:t xml:space="preserve"> </w:t>
      </w:r>
    </w:p>
  </w:footnote>
  <w:footnote w:id="7">
    <w:p w14:paraId="0EA6E23F" w14:textId="77468AB1" w:rsidR="00A961D9" w:rsidRPr="00B774EB" w:rsidRDefault="00A961D9" w:rsidP="008F541E">
      <w:pPr>
        <w:pStyle w:val="FootnoteText"/>
        <w:spacing w:after="0"/>
        <w:rPr>
          <w:rFonts w:cs="Times New Roman"/>
          <w:sz w:val="20"/>
          <w:szCs w:val="20"/>
        </w:rPr>
      </w:pPr>
      <w:r w:rsidRPr="00B774EB">
        <w:rPr>
          <w:rStyle w:val="FootnoteReference"/>
          <w:rFonts w:cs="Times New Roman"/>
          <w:sz w:val="20"/>
          <w:szCs w:val="20"/>
        </w:rPr>
        <w:footnoteRef/>
      </w:r>
      <w:r w:rsidR="002C1B85">
        <w:rPr>
          <w:rFonts w:cs="Times New Roman"/>
          <w:sz w:val="20"/>
          <w:szCs w:val="20"/>
        </w:rPr>
        <w:t xml:space="preserve"> </w:t>
      </w:r>
      <w:proofErr w:type="spellStart"/>
      <w:proofErr w:type="gramStart"/>
      <w:r w:rsidR="002C1B85">
        <w:rPr>
          <w:rFonts w:cs="Times New Roman"/>
          <w:sz w:val="20"/>
          <w:szCs w:val="20"/>
        </w:rPr>
        <w:t>Tem</w:t>
      </w:r>
      <w:r w:rsidRPr="00B774EB">
        <w:rPr>
          <w:rFonts w:cs="Times New Roman"/>
          <w:sz w:val="20"/>
          <w:szCs w:val="20"/>
        </w:rPr>
        <w:t>kin</w:t>
      </w:r>
      <w:proofErr w:type="spellEnd"/>
      <w:r w:rsidRPr="00B774EB">
        <w:rPr>
          <w:rFonts w:cs="Times New Roman"/>
          <w:sz w:val="20"/>
          <w:szCs w:val="20"/>
        </w:rPr>
        <w:t>, above n 4, 180.</w:t>
      </w:r>
      <w:proofErr w:type="gramEnd"/>
      <w:r w:rsidRPr="00B774EB">
        <w:rPr>
          <w:rFonts w:cs="Times New Roman"/>
          <w:sz w:val="20"/>
          <w:szCs w:val="20"/>
        </w:rPr>
        <w:t xml:space="preserve"> </w:t>
      </w:r>
    </w:p>
  </w:footnote>
  <w:footnote w:id="8">
    <w:p w14:paraId="10231B9F" w14:textId="3E5AF628" w:rsidR="00A961D9" w:rsidRPr="00B774EB" w:rsidRDefault="00A961D9" w:rsidP="008F541E">
      <w:pPr>
        <w:pStyle w:val="FootnoteText"/>
        <w:spacing w:after="0"/>
        <w:rPr>
          <w:rFonts w:cs="Times New Roman"/>
          <w:sz w:val="20"/>
          <w:szCs w:val="20"/>
        </w:rPr>
      </w:pPr>
      <w:r w:rsidRPr="00B774EB">
        <w:rPr>
          <w:rStyle w:val="FootnoteReference"/>
          <w:rFonts w:cs="Times New Roman"/>
          <w:sz w:val="20"/>
          <w:szCs w:val="20"/>
        </w:rPr>
        <w:footnoteRef/>
      </w:r>
      <w:r w:rsidRPr="00B774EB">
        <w:rPr>
          <w:rFonts w:cs="Times New Roman"/>
          <w:sz w:val="20"/>
          <w:szCs w:val="20"/>
        </w:rPr>
        <w:t xml:space="preserve"> See, further, American Bar Association, </w:t>
      </w:r>
      <w:hyperlink r:id="rId1" w:history="1">
        <w:r w:rsidRPr="00B774EB">
          <w:rPr>
            <w:rStyle w:val="Hyperlink"/>
            <w:rFonts w:cs="Times New Roman"/>
            <w:sz w:val="20"/>
            <w:szCs w:val="20"/>
          </w:rPr>
          <w:t>https://www.americanbar.org/groups/professional_responsibility/publications/model_rules_of_professional_conduct.html</w:t>
        </w:r>
      </w:hyperlink>
      <w:r w:rsidRPr="00B774EB">
        <w:rPr>
          <w:rFonts w:cs="Times New Roman"/>
          <w:sz w:val="20"/>
          <w:szCs w:val="20"/>
        </w:rPr>
        <w:t xml:space="preserve">. </w:t>
      </w:r>
    </w:p>
  </w:footnote>
  <w:footnote w:id="9">
    <w:p w14:paraId="00B946E0" w14:textId="7B92013F" w:rsidR="00A961D9" w:rsidRPr="00B774EB" w:rsidRDefault="00A961D9" w:rsidP="008F541E">
      <w:pPr>
        <w:pStyle w:val="FootnoteText"/>
        <w:spacing w:after="0"/>
        <w:rPr>
          <w:rFonts w:cs="Times New Roman"/>
          <w:i/>
          <w:sz w:val="20"/>
          <w:szCs w:val="20"/>
        </w:rPr>
      </w:pPr>
      <w:r w:rsidRPr="00B774EB">
        <w:rPr>
          <w:rStyle w:val="FootnoteReference"/>
          <w:rFonts w:cs="Times New Roman"/>
          <w:sz w:val="20"/>
          <w:szCs w:val="20"/>
        </w:rPr>
        <w:footnoteRef/>
      </w:r>
      <w:r w:rsidRPr="00B774EB">
        <w:rPr>
          <w:rFonts w:cs="Times New Roman"/>
          <w:sz w:val="20"/>
          <w:szCs w:val="20"/>
        </w:rPr>
        <w:t xml:space="preserve"> See also Annotations to Rule 4.1 in the American Bar Association, </w:t>
      </w:r>
      <w:r w:rsidRPr="00B774EB">
        <w:rPr>
          <w:rFonts w:cs="Times New Roman"/>
          <w:i/>
          <w:sz w:val="20"/>
          <w:szCs w:val="20"/>
        </w:rPr>
        <w:t>Annotated Model Rules of Professional Conduct</w:t>
      </w:r>
      <w:r w:rsidRPr="00B774EB">
        <w:rPr>
          <w:rFonts w:cs="Times New Roman"/>
          <w:sz w:val="20"/>
          <w:szCs w:val="20"/>
        </w:rPr>
        <w:t xml:space="preserve"> (8th </w:t>
      </w:r>
      <w:proofErr w:type="spellStart"/>
      <w:proofErr w:type="gramStart"/>
      <w:r w:rsidRPr="00B774EB">
        <w:rPr>
          <w:rFonts w:cs="Times New Roman"/>
          <w:sz w:val="20"/>
          <w:szCs w:val="20"/>
        </w:rPr>
        <w:t>ed</w:t>
      </w:r>
      <w:proofErr w:type="spellEnd"/>
      <w:proofErr w:type="gramEnd"/>
      <w:r w:rsidRPr="00B774EB">
        <w:rPr>
          <w:rFonts w:cs="Times New Roman"/>
          <w:sz w:val="20"/>
          <w:szCs w:val="20"/>
        </w:rPr>
        <w:t>, 2015) (“Annotated Rules”).</w:t>
      </w:r>
    </w:p>
  </w:footnote>
  <w:footnote w:id="10">
    <w:p w14:paraId="0AFDE1F7" w14:textId="5A3C7FB0" w:rsidR="00A961D9" w:rsidRPr="00B774EB" w:rsidRDefault="00A961D9" w:rsidP="008F541E">
      <w:pPr>
        <w:pStyle w:val="FootnoteText"/>
        <w:spacing w:after="0"/>
        <w:rPr>
          <w:rFonts w:cs="Times New Roman"/>
          <w:sz w:val="20"/>
          <w:szCs w:val="20"/>
        </w:rPr>
      </w:pPr>
      <w:r w:rsidRPr="00B774EB">
        <w:rPr>
          <w:rStyle w:val="FootnoteReference"/>
          <w:rFonts w:cs="Times New Roman"/>
          <w:sz w:val="20"/>
          <w:szCs w:val="20"/>
        </w:rPr>
        <w:footnoteRef/>
      </w:r>
      <w:r w:rsidRPr="00B774EB">
        <w:rPr>
          <w:rFonts w:cs="Times New Roman"/>
          <w:sz w:val="20"/>
          <w:szCs w:val="20"/>
        </w:rPr>
        <w:t xml:space="preserve"> Rule 3.3(a</w:t>
      </w:r>
      <w:proofErr w:type="gramStart"/>
      <w:r w:rsidRPr="00B774EB">
        <w:rPr>
          <w:rFonts w:cs="Times New Roman"/>
          <w:sz w:val="20"/>
          <w:szCs w:val="20"/>
        </w:rPr>
        <w:t>)(</w:t>
      </w:r>
      <w:proofErr w:type="gramEnd"/>
      <w:r w:rsidRPr="00B774EB">
        <w:rPr>
          <w:rFonts w:cs="Times New Roman"/>
          <w:sz w:val="20"/>
          <w:szCs w:val="20"/>
        </w:rPr>
        <w:t xml:space="preserve">1) prohibits lawyers from knowingly making false statements of fact or law to tribunals. Rule 1.0(m) </w:t>
      </w:r>
      <w:r w:rsidR="002C1B85" w:rsidRPr="00B774EB">
        <w:rPr>
          <w:rFonts w:cs="Times New Roman"/>
          <w:sz w:val="20"/>
          <w:szCs w:val="20"/>
        </w:rPr>
        <w:t>defines</w:t>
      </w:r>
      <w:r w:rsidRPr="00B774EB">
        <w:rPr>
          <w:rFonts w:cs="Times New Roman"/>
          <w:sz w:val="20"/>
          <w:szCs w:val="20"/>
        </w:rPr>
        <w:t xml:space="preserve"> </w:t>
      </w:r>
      <w:r w:rsidRPr="00B774EB">
        <w:rPr>
          <w:rFonts w:cs="Times New Roman"/>
          <w:i/>
          <w:sz w:val="20"/>
          <w:szCs w:val="20"/>
        </w:rPr>
        <w:t>“tribunal”</w:t>
      </w:r>
      <w:r w:rsidRPr="00B774EB">
        <w:rPr>
          <w:rFonts w:cs="Times New Roman"/>
          <w:sz w:val="20"/>
          <w:szCs w:val="20"/>
        </w:rPr>
        <w:t xml:space="preserve"> as </w:t>
      </w:r>
      <w:r w:rsidRPr="00B774EB">
        <w:rPr>
          <w:rFonts w:cs="Times New Roman"/>
          <w:i/>
          <w:sz w:val="20"/>
          <w:szCs w:val="20"/>
        </w:rPr>
        <w:t xml:space="preserve">"a court, an arbitrator in a binding arbitration proceeding, or other body acting in an adjudicative capacity." </w:t>
      </w:r>
      <w:r w:rsidRPr="00B774EB">
        <w:rPr>
          <w:rFonts w:cs="Times New Roman"/>
          <w:sz w:val="20"/>
          <w:szCs w:val="20"/>
        </w:rPr>
        <w:t xml:space="preserve">At least one commentator has suggested that the definition of tribunal may include a mediation conducted by a court appointed mediator, although this would appear to be in contradiction to the requirement for a tribunal to act in an “adjudicative capacity”: see Lawrence, above n 1, 55. Some jurisdictions that have adopted Model Rule 4.1 have omitted the requirement of materiality: see Robert Kaplan and Linda Lawson, “Ethical Considerations in Settlement Discussions and During Mediation” (2016) 58(3) </w:t>
      </w:r>
      <w:r w:rsidRPr="00B774EB">
        <w:rPr>
          <w:rFonts w:cs="Times New Roman"/>
          <w:i/>
          <w:sz w:val="20"/>
          <w:szCs w:val="20"/>
        </w:rPr>
        <w:t xml:space="preserve">DRI </w:t>
      </w:r>
      <w:proofErr w:type="gramStart"/>
      <w:r w:rsidRPr="00B774EB">
        <w:rPr>
          <w:rFonts w:cs="Times New Roman"/>
          <w:i/>
          <w:sz w:val="20"/>
          <w:szCs w:val="20"/>
        </w:rPr>
        <w:t>For</w:t>
      </w:r>
      <w:proofErr w:type="gramEnd"/>
      <w:r w:rsidRPr="00B774EB">
        <w:rPr>
          <w:rFonts w:cs="Times New Roman"/>
          <w:i/>
          <w:sz w:val="20"/>
          <w:szCs w:val="20"/>
        </w:rPr>
        <w:t xml:space="preserve"> the Defense</w:t>
      </w:r>
      <w:r w:rsidRPr="00B774EB">
        <w:rPr>
          <w:rFonts w:cs="Times New Roman"/>
          <w:sz w:val="20"/>
          <w:szCs w:val="20"/>
        </w:rPr>
        <w:t xml:space="preserve"> 12, 19. </w:t>
      </w:r>
    </w:p>
  </w:footnote>
  <w:footnote w:id="11">
    <w:p w14:paraId="029300D1" w14:textId="2CC4CB1E" w:rsidR="00A961D9" w:rsidRPr="00B774EB" w:rsidRDefault="00A961D9" w:rsidP="008F541E">
      <w:pPr>
        <w:pStyle w:val="FootnoteText"/>
        <w:spacing w:after="0"/>
        <w:rPr>
          <w:rFonts w:cs="Times New Roman"/>
          <w:i/>
          <w:sz w:val="20"/>
          <w:szCs w:val="20"/>
        </w:rPr>
      </w:pPr>
      <w:r w:rsidRPr="00B774EB">
        <w:rPr>
          <w:rStyle w:val="FootnoteReference"/>
          <w:rFonts w:cs="Times New Roman"/>
          <w:sz w:val="20"/>
          <w:szCs w:val="20"/>
        </w:rPr>
        <w:footnoteRef/>
      </w:r>
      <w:r w:rsidRPr="00B774EB">
        <w:rPr>
          <w:rFonts w:cs="Times New Roman"/>
          <w:sz w:val="20"/>
          <w:szCs w:val="20"/>
        </w:rPr>
        <w:t xml:space="preserve"> The Annotated Rules state that </w:t>
      </w:r>
      <w:r w:rsidRPr="00B774EB">
        <w:rPr>
          <w:rFonts w:cs="Times New Roman"/>
          <w:i/>
          <w:sz w:val="20"/>
          <w:szCs w:val="20"/>
        </w:rPr>
        <w:t xml:space="preserve">“A statement is material for purposes of Rule 4.1(a) if it could or would influence the hearer.” </w:t>
      </w:r>
    </w:p>
  </w:footnote>
  <w:footnote w:id="12">
    <w:p w14:paraId="5AB70E8C" w14:textId="340B28B8" w:rsidR="00A961D9" w:rsidRPr="00B774EB" w:rsidRDefault="00A961D9" w:rsidP="008F541E">
      <w:pPr>
        <w:pStyle w:val="FootnoteText"/>
        <w:spacing w:after="0"/>
        <w:rPr>
          <w:rFonts w:cs="Times New Roman"/>
          <w:sz w:val="20"/>
          <w:szCs w:val="20"/>
        </w:rPr>
      </w:pPr>
      <w:r w:rsidRPr="00B774EB">
        <w:rPr>
          <w:rStyle w:val="FootnoteReference"/>
          <w:rFonts w:cs="Times New Roman"/>
          <w:sz w:val="20"/>
          <w:szCs w:val="20"/>
        </w:rPr>
        <w:footnoteRef/>
      </w:r>
      <w:r w:rsidRPr="00B774EB">
        <w:rPr>
          <w:rFonts w:cs="Times New Roman"/>
          <w:sz w:val="20"/>
          <w:szCs w:val="20"/>
        </w:rPr>
        <w:t xml:space="preserve"> See also American Bar Association, </w:t>
      </w:r>
      <w:r w:rsidRPr="00B774EB">
        <w:rPr>
          <w:rFonts w:cs="Times New Roman"/>
          <w:i/>
          <w:sz w:val="20"/>
          <w:szCs w:val="20"/>
        </w:rPr>
        <w:t>Ethical Guidelines for Settlement Negotiations</w:t>
      </w:r>
      <w:r w:rsidRPr="00B774EB">
        <w:rPr>
          <w:rFonts w:cs="Times New Roman"/>
          <w:sz w:val="20"/>
          <w:szCs w:val="20"/>
        </w:rPr>
        <w:t xml:space="preserve"> (August, 2002), section 4.1.1 (“Settlement Guidelines”). </w:t>
      </w:r>
    </w:p>
  </w:footnote>
  <w:footnote w:id="13">
    <w:p w14:paraId="0A541A27" w14:textId="5C097BF5" w:rsidR="00A961D9" w:rsidRPr="00B774EB" w:rsidRDefault="00A961D9" w:rsidP="008F541E">
      <w:pPr>
        <w:pStyle w:val="FootnoteText"/>
        <w:spacing w:after="0"/>
        <w:rPr>
          <w:rFonts w:cs="Times New Roman"/>
          <w:sz w:val="20"/>
          <w:szCs w:val="20"/>
        </w:rPr>
      </w:pPr>
      <w:r w:rsidRPr="00B774EB">
        <w:rPr>
          <w:rStyle w:val="FootnoteReference"/>
          <w:rFonts w:cs="Times New Roman"/>
          <w:sz w:val="20"/>
          <w:szCs w:val="20"/>
        </w:rPr>
        <w:footnoteRef/>
      </w:r>
      <w:r w:rsidRPr="00B774EB">
        <w:rPr>
          <w:rFonts w:cs="Times New Roman"/>
          <w:sz w:val="20"/>
          <w:szCs w:val="20"/>
        </w:rPr>
        <w:t xml:space="preserve"> See, further, American Bar Association Formal Opinion 06-439, </w:t>
      </w:r>
      <w:r w:rsidRPr="00B774EB">
        <w:rPr>
          <w:rFonts w:cs="Times New Roman"/>
          <w:i/>
          <w:sz w:val="20"/>
          <w:szCs w:val="20"/>
        </w:rPr>
        <w:t>Lawyers Obligations of Truthfulness When Representing a Client in Negotiation: Application to Caucused Mediation</w:t>
      </w:r>
      <w:r w:rsidRPr="00B774EB">
        <w:rPr>
          <w:rFonts w:cs="Times New Roman"/>
          <w:sz w:val="20"/>
          <w:szCs w:val="20"/>
        </w:rPr>
        <w:t xml:space="preserve"> (2006)</w:t>
      </w:r>
    </w:p>
  </w:footnote>
  <w:footnote w:id="14">
    <w:p w14:paraId="6CAF2275" w14:textId="752198CF" w:rsidR="00A961D9" w:rsidRPr="00B774EB" w:rsidRDefault="00A961D9" w:rsidP="008F541E">
      <w:pPr>
        <w:pStyle w:val="FootnoteText"/>
        <w:spacing w:after="0"/>
        <w:rPr>
          <w:rFonts w:cs="Times New Roman"/>
          <w:i/>
          <w:sz w:val="20"/>
          <w:szCs w:val="20"/>
        </w:rPr>
      </w:pPr>
      <w:r w:rsidRPr="00B774EB">
        <w:rPr>
          <w:rStyle w:val="FootnoteReference"/>
          <w:rFonts w:cs="Times New Roman"/>
          <w:sz w:val="20"/>
          <w:szCs w:val="20"/>
        </w:rPr>
        <w:footnoteRef/>
      </w:r>
      <w:r w:rsidRPr="00B774EB">
        <w:rPr>
          <w:rFonts w:cs="Times New Roman"/>
          <w:sz w:val="20"/>
          <w:szCs w:val="20"/>
        </w:rPr>
        <w:t xml:space="preserve"> The word </w:t>
      </w:r>
      <w:r w:rsidRPr="00B774EB">
        <w:rPr>
          <w:rFonts w:cs="Times New Roman"/>
          <w:i/>
          <w:sz w:val="20"/>
          <w:szCs w:val="20"/>
        </w:rPr>
        <w:t xml:space="preserve">“ordinarily” </w:t>
      </w:r>
      <w:r w:rsidRPr="00B774EB">
        <w:rPr>
          <w:rFonts w:cs="Times New Roman"/>
          <w:sz w:val="20"/>
          <w:szCs w:val="20"/>
        </w:rPr>
        <w:t xml:space="preserve">was added to Rule 4.1(b) in 2002 to acknowledge that an estimate of price or value or a statement of intention regarding settlement could, under some circumstances, constitute a false statement of fact: Annotated Rules, annotations to Rule 4.1. See also American Bar Association, </w:t>
      </w:r>
      <w:r w:rsidRPr="00B774EB">
        <w:rPr>
          <w:rFonts w:cs="Times New Roman"/>
          <w:i/>
          <w:sz w:val="20"/>
          <w:szCs w:val="20"/>
        </w:rPr>
        <w:t>A Legislative History: The Development of the ABA Model Rules of Professional Conduct, 1982-2013</w:t>
      </w:r>
      <w:r w:rsidRPr="00B774EB">
        <w:rPr>
          <w:rFonts w:cs="Times New Roman"/>
          <w:sz w:val="20"/>
          <w:szCs w:val="20"/>
        </w:rPr>
        <w:t xml:space="preserve">, (2013) 552. </w:t>
      </w:r>
    </w:p>
  </w:footnote>
  <w:footnote w:id="15">
    <w:p w14:paraId="74AC064E" w14:textId="65D0626D" w:rsidR="00A961D9" w:rsidRPr="00B774EB" w:rsidRDefault="00A961D9" w:rsidP="008F541E">
      <w:pPr>
        <w:pStyle w:val="FootnoteText"/>
        <w:spacing w:after="0"/>
        <w:rPr>
          <w:rFonts w:cs="Times New Roman"/>
          <w:sz w:val="20"/>
          <w:szCs w:val="20"/>
        </w:rPr>
      </w:pPr>
      <w:r w:rsidRPr="00B774EB">
        <w:rPr>
          <w:rStyle w:val="FootnoteReference"/>
          <w:rFonts w:cs="Times New Roman"/>
          <w:sz w:val="20"/>
          <w:szCs w:val="20"/>
        </w:rPr>
        <w:footnoteRef/>
      </w:r>
      <w:r w:rsidRPr="00B774EB">
        <w:rPr>
          <w:rFonts w:cs="Times New Roman"/>
          <w:sz w:val="20"/>
          <w:szCs w:val="20"/>
        </w:rPr>
        <w:t xml:space="preserve"> See, generally, Peters, above n 2. See also John Cooley, “Mediation Magic: Its Use and Abuse” (1997) 29 </w:t>
      </w:r>
      <w:r w:rsidRPr="00B774EB">
        <w:rPr>
          <w:rFonts w:cs="Times New Roman"/>
          <w:i/>
          <w:sz w:val="20"/>
          <w:szCs w:val="20"/>
        </w:rPr>
        <w:t>Loyola University Chicago Law Journal</w:t>
      </w:r>
      <w:r w:rsidRPr="00B774EB">
        <w:rPr>
          <w:rFonts w:cs="Times New Roman"/>
          <w:sz w:val="20"/>
          <w:szCs w:val="20"/>
        </w:rPr>
        <w:t xml:space="preserve"> 1, analyzing the types of deception practiced in mediation. </w:t>
      </w:r>
    </w:p>
  </w:footnote>
  <w:footnote w:id="16">
    <w:p w14:paraId="37751EF0" w14:textId="5C14CA9F" w:rsidR="00A961D9" w:rsidRPr="00B774EB" w:rsidRDefault="00A961D9" w:rsidP="008F541E">
      <w:pPr>
        <w:pStyle w:val="FootnoteText"/>
        <w:spacing w:after="0"/>
        <w:rPr>
          <w:rFonts w:cs="Times New Roman"/>
          <w:sz w:val="20"/>
          <w:szCs w:val="20"/>
        </w:rPr>
      </w:pPr>
      <w:r w:rsidRPr="00B774EB">
        <w:rPr>
          <w:rStyle w:val="FootnoteReference"/>
          <w:rFonts w:cs="Times New Roman"/>
          <w:sz w:val="20"/>
          <w:szCs w:val="20"/>
        </w:rPr>
        <w:footnoteRef/>
      </w:r>
      <w:r w:rsidRPr="00B774EB">
        <w:rPr>
          <w:rFonts w:cs="Times New Roman"/>
          <w:sz w:val="20"/>
          <w:szCs w:val="20"/>
        </w:rPr>
        <w:t xml:space="preserve"> </w:t>
      </w:r>
      <w:proofErr w:type="spellStart"/>
      <w:proofErr w:type="gramStart"/>
      <w:r w:rsidRPr="00B774EB">
        <w:rPr>
          <w:rFonts w:cs="Times New Roman"/>
          <w:sz w:val="20"/>
          <w:szCs w:val="20"/>
        </w:rPr>
        <w:t>Temkin</w:t>
      </w:r>
      <w:proofErr w:type="spellEnd"/>
      <w:r w:rsidRPr="00B774EB">
        <w:rPr>
          <w:rFonts w:cs="Times New Roman"/>
          <w:sz w:val="20"/>
          <w:szCs w:val="20"/>
        </w:rPr>
        <w:t>, above n 4, 186.</w:t>
      </w:r>
      <w:proofErr w:type="gramEnd"/>
      <w:r w:rsidRPr="00B774EB">
        <w:rPr>
          <w:rFonts w:cs="Times New Roman"/>
          <w:sz w:val="20"/>
          <w:szCs w:val="20"/>
        </w:rPr>
        <w:t xml:space="preserve"> Rule 1.0(d) defines fraud as conduct that is fraudulent </w:t>
      </w:r>
      <w:r w:rsidRPr="00B774EB">
        <w:rPr>
          <w:rFonts w:cs="Times New Roman"/>
          <w:i/>
          <w:sz w:val="20"/>
          <w:szCs w:val="20"/>
        </w:rPr>
        <w:t>“under the substantive or procedural law of the applicable</w:t>
      </w:r>
      <w:r w:rsidRPr="00B774EB">
        <w:rPr>
          <w:rFonts w:cs="Times New Roman"/>
          <w:sz w:val="20"/>
          <w:szCs w:val="20"/>
        </w:rPr>
        <w:t xml:space="preserve"> </w:t>
      </w:r>
      <w:r w:rsidRPr="00B774EB">
        <w:rPr>
          <w:rFonts w:cs="Times New Roman"/>
          <w:i/>
          <w:sz w:val="20"/>
          <w:szCs w:val="20"/>
        </w:rPr>
        <w:t>jurisdiction and has a purpose to deceive”</w:t>
      </w:r>
      <w:r w:rsidRPr="00B774EB">
        <w:rPr>
          <w:rFonts w:cs="Times New Roman"/>
          <w:sz w:val="20"/>
          <w:szCs w:val="20"/>
        </w:rPr>
        <w:t xml:space="preserve">. See, generally, Bruce Green, “Deceitful Silence” (2007) 33 </w:t>
      </w:r>
      <w:r w:rsidRPr="00B774EB">
        <w:rPr>
          <w:rFonts w:cs="Times New Roman"/>
          <w:i/>
          <w:sz w:val="20"/>
          <w:szCs w:val="20"/>
        </w:rPr>
        <w:t xml:space="preserve">Litigation </w:t>
      </w:r>
      <w:r w:rsidRPr="00B774EB">
        <w:rPr>
          <w:rFonts w:cs="Times New Roman"/>
          <w:sz w:val="20"/>
          <w:szCs w:val="20"/>
        </w:rPr>
        <w:t>24.</w:t>
      </w:r>
    </w:p>
  </w:footnote>
  <w:footnote w:id="17">
    <w:p w14:paraId="3B3D243C" w14:textId="767DE9C2" w:rsidR="00A961D9" w:rsidRPr="00B774EB" w:rsidRDefault="00A961D9" w:rsidP="008F541E">
      <w:pPr>
        <w:pStyle w:val="FootnoteText"/>
        <w:spacing w:after="0"/>
        <w:rPr>
          <w:rFonts w:cs="Times New Roman"/>
          <w:i/>
          <w:sz w:val="20"/>
          <w:szCs w:val="20"/>
        </w:rPr>
      </w:pPr>
      <w:r w:rsidRPr="00B774EB">
        <w:rPr>
          <w:rStyle w:val="FootnoteReference"/>
          <w:rFonts w:cs="Times New Roman"/>
          <w:sz w:val="20"/>
          <w:szCs w:val="20"/>
        </w:rPr>
        <w:footnoteRef/>
      </w:r>
      <w:r w:rsidRPr="00B774EB">
        <w:rPr>
          <w:rFonts w:cs="Times New Roman"/>
          <w:sz w:val="20"/>
          <w:szCs w:val="20"/>
        </w:rPr>
        <w:t xml:space="preserve"> See further Lawrence, above n 4, 49-50 explaining that, in certain circumstances, a lawyer must resign where continuing to act would be tantamount to assisting the client’s fraud.  But see John </w:t>
      </w:r>
      <w:proofErr w:type="spellStart"/>
      <w:r w:rsidRPr="00B774EB">
        <w:rPr>
          <w:rFonts w:cs="Times New Roman"/>
          <w:sz w:val="20"/>
          <w:szCs w:val="20"/>
        </w:rPr>
        <w:t>Humbach</w:t>
      </w:r>
      <w:proofErr w:type="spellEnd"/>
      <w:r w:rsidRPr="00B774EB">
        <w:rPr>
          <w:rFonts w:cs="Times New Roman"/>
          <w:sz w:val="20"/>
          <w:szCs w:val="20"/>
        </w:rPr>
        <w:t xml:space="preserve">, “Shifting Paradigms of Lawyer Honesty” (2009) 76 </w:t>
      </w:r>
      <w:r w:rsidRPr="00B774EB">
        <w:rPr>
          <w:rFonts w:cs="Times New Roman"/>
          <w:i/>
          <w:sz w:val="20"/>
          <w:szCs w:val="20"/>
        </w:rPr>
        <w:t>Tennessee Law Review</w:t>
      </w:r>
      <w:r w:rsidRPr="00B774EB">
        <w:rPr>
          <w:rFonts w:cs="Times New Roman"/>
          <w:sz w:val="20"/>
          <w:szCs w:val="20"/>
        </w:rPr>
        <w:t xml:space="preserve"> 993, 1009, expressing the view that </w:t>
      </w:r>
      <w:r w:rsidRPr="00B774EB">
        <w:rPr>
          <w:rFonts w:cs="Times New Roman"/>
          <w:i/>
          <w:sz w:val="20"/>
          <w:szCs w:val="20"/>
        </w:rPr>
        <w:t xml:space="preserve">“Since Rule 4.1(b) requires its disclosures when Rule 1.6 permits </w:t>
      </w:r>
      <w:proofErr w:type="gramStart"/>
      <w:r w:rsidRPr="00B774EB">
        <w:rPr>
          <w:rFonts w:cs="Times New Roman"/>
          <w:i/>
          <w:sz w:val="20"/>
          <w:szCs w:val="20"/>
        </w:rPr>
        <w:t>them,</w:t>
      </w:r>
      <w:proofErr w:type="gramEnd"/>
      <w:r w:rsidRPr="00B774EB">
        <w:rPr>
          <w:rFonts w:cs="Times New Roman"/>
          <w:i/>
          <w:sz w:val="20"/>
          <w:szCs w:val="20"/>
        </w:rPr>
        <w:t xml:space="preserve"> a new and wide-ranging ‘duty to warn’ has emerged.”</w:t>
      </w:r>
      <w:r w:rsidRPr="00B774EB">
        <w:rPr>
          <w:rFonts w:cs="Times New Roman"/>
          <w:sz w:val="20"/>
          <w:szCs w:val="20"/>
        </w:rPr>
        <w:t xml:space="preserve"> See also the annotations to paragraph (b) of Rule 4.1 of the Annotated Rules.  </w:t>
      </w:r>
    </w:p>
  </w:footnote>
  <w:footnote w:id="18">
    <w:p w14:paraId="0853334D" w14:textId="6B0BC507" w:rsidR="00A961D9" w:rsidRPr="00B774EB" w:rsidRDefault="00A961D9" w:rsidP="008F541E">
      <w:pPr>
        <w:pStyle w:val="FootnoteText"/>
        <w:spacing w:after="0"/>
        <w:rPr>
          <w:rFonts w:cs="Times New Roman"/>
          <w:sz w:val="20"/>
          <w:szCs w:val="20"/>
        </w:rPr>
      </w:pPr>
      <w:r w:rsidRPr="00B774EB">
        <w:rPr>
          <w:rStyle w:val="FootnoteReference"/>
          <w:rFonts w:cs="Times New Roman"/>
          <w:sz w:val="20"/>
          <w:szCs w:val="20"/>
        </w:rPr>
        <w:footnoteRef/>
      </w:r>
      <w:r w:rsidRPr="00B774EB">
        <w:rPr>
          <w:rFonts w:cs="Times New Roman"/>
          <w:sz w:val="20"/>
          <w:szCs w:val="20"/>
        </w:rPr>
        <w:t xml:space="preserve"> </w:t>
      </w:r>
      <w:proofErr w:type="gramStart"/>
      <w:r w:rsidRPr="00B774EB">
        <w:rPr>
          <w:rFonts w:cs="Times New Roman"/>
          <w:sz w:val="20"/>
          <w:szCs w:val="20"/>
        </w:rPr>
        <w:t>Preamble to the Settlement Guidelines.</w:t>
      </w:r>
      <w:proofErr w:type="gramEnd"/>
      <w:r w:rsidRPr="00B774EB">
        <w:rPr>
          <w:rFonts w:cs="Times New Roman"/>
          <w:sz w:val="20"/>
          <w:szCs w:val="20"/>
        </w:rPr>
        <w:t xml:space="preserve">  </w:t>
      </w:r>
    </w:p>
  </w:footnote>
  <w:footnote w:id="19">
    <w:p w14:paraId="34C221FF" w14:textId="72D77B61" w:rsidR="00A961D9" w:rsidRPr="00B774EB" w:rsidRDefault="00A961D9" w:rsidP="008F541E">
      <w:pPr>
        <w:pStyle w:val="FootnoteText"/>
        <w:spacing w:after="0"/>
        <w:rPr>
          <w:rFonts w:cs="Times New Roman"/>
          <w:i/>
          <w:sz w:val="20"/>
          <w:szCs w:val="20"/>
        </w:rPr>
      </w:pPr>
      <w:r w:rsidRPr="00B774EB">
        <w:rPr>
          <w:rStyle w:val="FootnoteReference"/>
          <w:rFonts w:cs="Times New Roman"/>
          <w:sz w:val="20"/>
          <w:szCs w:val="20"/>
        </w:rPr>
        <w:footnoteRef/>
      </w:r>
      <w:r w:rsidRPr="00B774EB">
        <w:rPr>
          <w:rFonts w:cs="Times New Roman"/>
          <w:sz w:val="20"/>
          <w:szCs w:val="20"/>
        </w:rPr>
        <w:t xml:space="preserve"> Citing </w:t>
      </w:r>
      <w:r w:rsidRPr="00B774EB">
        <w:rPr>
          <w:rFonts w:cs="Times New Roman"/>
          <w:i/>
          <w:sz w:val="20"/>
          <w:szCs w:val="20"/>
        </w:rPr>
        <w:t>Crowe v. Smith</w:t>
      </w:r>
      <w:r w:rsidRPr="00B774EB">
        <w:rPr>
          <w:rFonts w:cs="Times New Roman"/>
          <w:sz w:val="20"/>
          <w:szCs w:val="20"/>
        </w:rPr>
        <w:t xml:space="preserve">, 151 F.3d 217 (5th Cir, 1998). See also section 4.3.5 </w:t>
      </w:r>
    </w:p>
  </w:footnote>
  <w:footnote w:id="20">
    <w:p w14:paraId="6F882E7C" w14:textId="77777777" w:rsidR="00A961D9" w:rsidRPr="00B774EB" w:rsidRDefault="00A961D9" w:rsidP="008F541E">
      <w:pPr>
        <w:pStyle w:val="FootnoteText"/>
        <w:spacing w:after="0"/>
        <w:rPr>
          <w:rFonts w:cs="Times New Roman"/>
          <w:sz w:val="20"/>
          <w:szCs w:val="20"/>
        </w:rPr>
      </w:pPr>
      <w:r w:rsidRPr="00B774EB">
        <w:rPr>
          <w:rStyle w:val="FootnoteReference"/>
          <w:rFonts w:cs="Times New Roman"/>
          <w:sz w:val="20"/>
          <w:szCs w:val="20"/>
        </w:rPr>
        <w:footnoteRef/>
      </w:r>
      <w:r w:rsidRPr="00B774EB">
        <w:rPr>
          <w:rFonts w:cs="Times New Roman"/>
          <w:sz w:val="20"/>
          <w:szCs w:val="20"/>
        </w:rPr>
        <w:t xml:space="preserve"> </w:t>
      </w:r>
      <w:proofErr w:type="gramStart"/>
      <w:r w:rsidRPr="00B774EB">
        <w:rPr>
          <w:rFonts w:cs="Times New Roman"/>
          <w:sz w:val="20"/>
          <w:szCs w:val="20"/>
        </w:rPr>
        <w:t>116 N.W.2d 704 (1962).</w:t>
      </w:r>
      <w:proofErr w:type="gramEnd"/>
      <w:r w:rsidRPr="00B774EB">
        <w:rPr>
          <w:rFonts w:cs="Times New Roman"/>
          <w:sz w:val="20"/>
          <w:szCs w:val="20"/>
        </w:rPr>
        <w:t xml:space="preserve"> </w:t>
      </w:r>
    </w:p>
  </w:footnote>
  <w:footnote w:id="21">
    <w:p w14:paraId="566C32AC" w14:textId="3CC96F4A" w:rsidR="00A961D9" w:rsidRPr="00B774EB" w:rsidRDefault="00A961D9" w:rsidP="008F541E">
      <w:pPr>
        <w:pStyle w:val="FootnoteText"/>
        <w:spacing w:after="0"/>
        <w:rPr>
          <w:rFonts w:cs="Times New Roman"/>
          <w:sz w:val="20"/>
          <w:szCs w:val="20"/>
        </w:rPr>
      </w:pPr>
      <w:r w:rsidRPr="00B774EB">
        <w:rPr>
          <w:rStyle w:val="FootnoteReference"/>
          <w:rFonts w:cs="Times New Roman"/>
          <w:sz w:val="20"/>
          <w:szCs w:val="20"/>
        </w:rPr>
        <w:footnoteRef/>
      </w:r>
      <w:r w:rsidRPr="00B774EB">
        <w:rPr>
          <w:rFonts w:cs="Times New Roman"/>
          <w:sz w:val="20"/>
          <w:szCs w:val="20"/>
        </w:rPr>
        <w:t xml:space="preserve"> </w:t>
      </w:r>
      <w:proofErr w:type="gramStart"/>
      <w:r w:rsidRPr="00B774EB">
        <w:rPr>
          <w:rFonts w:cs="Times New Roman"/>
          <w:i/>
          <w:sz w:val="20"/>
          <w:szCs w:val="20"/>
        </w:rPr>
        <w:t xml:space="preserve">Id, </w:t>
      </w:r>
      <w:r w:rsidRPr="00B774EB">
        <w:rPr>
          <w:rFonts w:cs="Times New Roman"/>
          <w:sz w:val="20"/>
          <w:szCs w:val="20"/>
        </w:rPr>
        <w:t>707.</w:t>
      </w:r>
      <w:proofErr w:type="gramEnd"/>
      <w:r w:rsidRPr="00B774EB">
        <w:rPr>
          <w:rFonts w:cs="Times New Roman"/>
          <w:sz w:val="20"/>
          <w:szCs w:val="20"/>
        </w:rPr>
        <w:t xml:space="preserve"> </w:t>
      </w:r>
    </w:p>
  </w:footnote>
  <w:footnote w:id="22">
    <w:p w14:paraId="0FE0D26B" w14:textId="5D8E11BB" w:rsidR="00A961D9" w:rsidRPr="00B774EB" w:rsidRDefault="00A961D9" w:rsidP="008F541E">
      <w:pPr>
        <w:pStyle w:val="FootnoteText"/>
        <w:spacing w:after="0"/>
        <w:rPr>
          <w:rFonts w:cs="Times New Roman"/>
          <w:i/>
          <w:sz w:val="20"/>
          <w:szCs w:val="20"/>
        </w:rPr>
      </w:pPr>
      <w:r w:rsidRPr="00B774EB">
        <w:rPr>
          <w:rStyle w:val="FootnoteReference"/>
          <w:rFonts w:cs="Times New Roman"/>
          <w:sz w:val="20"/>
          <w:szCs w:val="20"/>
        </w:rPr>
        <w:footnoteRef/>
      </w:r>
      <w:r w:rsidRPr="00B774EB">
        <w:rPr>
          <w:rFonts w:cs="Times New Roman"/>
          <w:sz w:val="20"/>
          <w:szCs w:val="20"/>
        </w:rPr>
        <w:t xml:space="preserve"> </w:t>
      </w:r>
      <w:proofErr w:type="gramStart"/>
      <w:r w:rsidRPr="00B774EB">
        <w:rPr>
          <w:rFonts w:cs="Times New Roman"/>
          <w:i/>
          <w:sz w:val="20"/>
          <w:szCs w:val="20"/>
        </w:rPr>
        <w:t>Id</w:t>
      </w:r>
      <w:r w:rsidRPr="00B774EB">
        <w:rPr>
          <w:rFonts w:cs="Times New Roman"/>
          <w:sz w:val="20"/>
          <w:szCs w:val="20"/>
        </w:rPr>
        <w:t>, 709.</w:t>
      </w:r>
      <w:proofErr w:type="gramEnd"/>
    </w:p>
  </w:footnote>
  <w:footnote w:id="23">
    <w:p w14:paraId="5B8811C3" w14:textId="27CD0488" w:rsidR="00A961D9" w:rsidRPr="00B774EB" w:rsidRDefault="00A961D9" w:rsidP="008F541E">
      <w:pPr>
        <w:pStyle w:val="FootnoteText"/>
        <w:spacing w:after="0"/>
        <w:rPr>
          <w:rFonts w:cs="Times New Roman"/>
          <w:sz w:val="20"/>
          <w:szCs w:val="20"/>
        </w:rPr>
      </w:pPr>
      <w:r w:rsidRPr="00B774EB">
        <w:rPr>
          <w:rStyle w:val="FootnoteReference"/>
          <w:rFonts w:cs="Times New Roman"/>
          <w:sz w:val="20"/>
          <w:szCs w:val="20"/>
        </w:rPr>
        <w:footnoteRef/>
      </w:r>
      <w:r w:rsidRPr="00B774EB">
        <w:rPr>
          <w:rFonts w:cs="Times New Roman"/>
          <w:sz w:val="20"/>
          <w:szCs w:val="20"/>
        </w:rPr>
        <w:t xml:space="preserve"> </w:t>
      </w:r>
      <w:proofErr w:type="gramStart"/>
      <w:r w:rsidRPr="00B774EB">
        <w:rPr>
          <w:rFonts w:cs="Times New Roman"/>
          <w:sz w:val="20"/>
          <w:szCs w:val="20"/>
        </w:rPr>
        <w:t xml:space="preserve">Nathan Crystal, “The Lawyer’s Duty to Disclose Material Facts in Contract or Settlement Negotiations” (1999) 87 </w:t>
      </w:r>
      <w:r w:rsidRPr="00B774EB">
        <w:rPr>
          <w:rFonts w:cs="Times New Roman"/>
          <w:i/>
          <w:sz w:val="20"/>
          <w:szCs w:val="20"/>
        </w:rPr>
        <w:t xml:space="preserve">Kentucky Law Journal </w:t>
      </w:r>
      <w:r w:rsidRPr="00B774EB">
        <w:rPr>
          <w:rFonts w:cs="Times New Roman"/>
          <w:sz w:val="20"/>
          <w:szCs w:val="20"/>
        </w:rPr>
        <w:t>1055, 1086, 1097.</w:t>
      </w:r>
      <w:proofErr w:type="gramEnd"/>
      <w:r w:rsidRPr="00B774EB">
        <w:rPr>
          <w:rFonts w:cs="Times New Roman"/>
          <w:sz w:val="20"/>
          <w:szCs w:val="20"/>
        </w:rPr>
        <w:t xml:space="preserve"> See generally Peter Thompson, “Good Faith Mediation in the Federal Courts” (2010) 26 </w:t>
      </w:r>
      <w:r w:rsidRPr="00B774EB">
        <w:rPr>
          <w:rFonts w:cs="Times New Roman"/>
          <w:i/>
          <w:sz w:val="20"/>
          <w:szCs w:val="20"/>
        </w:rPr>
        <w:t xml:space="preserve">Ohio State Journal on Dispute Resolution </w:t>
      </w:r>
      <w:r w:rsidRPr="00B774EB">
        <w:rPr>
          <w:rFonts w:cs="Times New Roman"/>
          <w:sz w:val="20"/>
          <w:szCs w:val="20"/>
        </w:rPr>
        <w:t>363.</w:t>
      </w:r>
    </w:p>
  </w:footnote>
  <w:footnote w:id="24">
    <w:p w14:paraId="4D607ED0" w14:textId="5B08DA74" w:rsidR="00A961D9" w:rsidRPr="00B774EB" w:rsidRDefault="00A961D9" w:rsidP="008F541E">
      <w:pPr>
        <w:pStyle w:val="FootnoteText"/>
        <w:spacing w:after="0"/>
        <w:rPr>
          <w:rFonts w:cs="Times New Roman"/>
          <w:i/>
          <w:sz w:val="20"/>
          <w:szCs w:val="20"/>
        </w:rPr>
      </w:pPr>
      <w:r w:rsidRPr="00B774EB">
        <w:rPr>
          <w:rStyle w:val="FootnoteReference"/>
          <w:rFonts w:cs="Times New Roman"/>
          <w:sz w:val="20"/>
          <w:szCs w:val="20"/>
        </w:rPr>
        <w:footnoteRef/>
      </w:r>
      <w:r w:rsidRPr="00B774EB">
        <w:rPr>
          <w:rFonts w:cs="Times New Roman"/>
          <w:sz w:val="20"/>
          <w:szCs w:val="20"/>
        </w:rPr>
        <w:t xml:space="preserve"> See, </w:t>
      </w:r>
      <w:proofErr w:type="spellStart"/>
      <w:r w:rsidRPr="00B774EB">
        <w:rPr>
          <w:rFonts w:cs="Times New Roman"/>
          <w:sz w:val="20"/>
          <w:szCs w:val="20"/>
        </w:rPr>
        <w:t>eg</w:t>
      </w:r>
      <w:proofErr w:type="spellEnd"/>
      <w:r w:rsidRPr="00B774EB">
        <w:rPr>
          <w:rFonts w:cs="Times New Roman"/>
          <w:sz w:val="20"/>
          <w:szCs w:val="20"/>
        </w:rPr>
        <w:t xml:space="preserve">, </w:t>
      </w:r>
      <w:proofErr w:type="spellStart"/>
      <w:r w:rsidRPr="00B774EB">
        <w:rPr>
          <w:rFonts w:cs="Times New Roman"/>
          <w:sz w:val="20"/>
          <w:szCs w:val="20"/>
        </w:rPr>
        <w:t>Temkin</w:t>
      </w:r>
      <w:proofErr w:type="spellEnd"/>
      <w:r w:rsidRPr="00B774EB">
        <w:rPr>
          <w:rFonts w:cs="Times New Roman"/>
          <w:sz w:val="20"/>
          <w:szCs w:val="20"/>
        </w:rPr>
        <w:t xml:space="preserve">, above n 4,199-200. </w:t>
      </w:r>
    </w:p>
  </w:footnote>
  <w:footnote w:id="25">
    <w:p w14:paraId="28268259" w14:textId="371CC355" w:rsidR="00A961D9" w:rsidRPr="00B774EB" w:rsidRDefault="00A961D9" w:rsidP="008F541E">
      <w:pPr>
        <w:pStyle w:val="FootnoteText"/>
        <w:spacing w:after="0"/>
        <w:rPr>
          <w:rFonts w:cs="Times New Roman"/>
          <w:sz w:val="20"/>
          <w:szCs w:val="20"/>
        </w:rPr>
      </w:pPr>
      <w:r w:rsidRPr="00B774EB">
        <w:rPr>
          <w:rStyle w:val="FootnoteReference"/>
          <w:rFonts w:cs="Times New Roman"/>
          <w:sz w:val="20"/>
          <w:szCs w:val="20"/>
        </w:rPr>
        <w:footnoteRef/>
      </w:r>
      <w:r w:rsidRPr="00B774EB">
        <w:rPr>
          <w:rFonts w:cs="Times New Roman"/>
          <w:sz w:val="20"/>
          <w:szCs w:val="20"/>
        </w:rPr>
        <w:t xml:space="preserve"> </w:t>
      </w:r>
      <w:proofErr w:type="gramStart"/>
      <w:r w:rsidRPr="00B774EB">
        <w:rPr>
          <w:rFonts w:cs="Times New Roman"/>
          <w:sz w:val="20"/>
          <w:szCs w:val="20"/>
        </w:rPr>
        <w:t xml:space="preserve">Rule 3.1 of the </w:t>
      </w:r>
      <w:r w:rsidRPr="00B774EB">
        <w:rPr>
          <w:rFonts w:cs="Times New Roman"/>
          <w:i/>
          <w:sz w:val="20"/>
          <w:szCs w:val="20"/>
        </w:rPr>
        <w:t>Model Rules</w:t>
      </w:r>
      <w:r w:rsidRPr="00B774EB">
        <w:rPr>
          <w:rFonts w:cs="Times New Roman"/>
          <w:sz w:val="20"/>
          <w:szCs w:val="20"/>
        </w:rPr>
        <w:t>.</w:t>
      </w:r>
      <w:proofErr w:type="gramEnd"/>
      <w:r w:rsidRPr="00B774EB">
        <w:rPr>
          <w:rFonts w:cs="Times New Roman"/>
          <w:sz w:val="20"/>
          <w:szCs w:val="20"/>
        </w:rPr>
        <w:t xml:space="preserve"> </w:t>
      </w:r>
    </w:p>
  </w:footnote>
  <w:footnote w:id="26">
    <w:p w14:paraId="1F40DF59" w14:textId="4389CEFC" w:rsidR="00A961D9" w:rsidRPr="00B774EB" w:rsidRDefault="00A961D9" w:rsidP="008F541E">
      <w:pPr>
        <w:pStyle w:val="FootnoteText"/>
        <w:spacing w:after="0"/>
        <w:rPr>
          <w:rFonts w:cs="Times New Roman"/>
          <w:i/>
          <w:sz w:val="20"/>
          <w:szCs w:val="20"/>
        </w:rPr>
      </w:pPr>
      <w:r w:rsidRPr="00B774EB">
        <w:rPr>
          <w:rStyle w:val="FootnoteReference"/>
          <w:rFonts w:cs="Times New Roman"/>
          <w:sz w:val="20"/>
          <w:szCs w:val="20"/>
        </w:rPr>
        <w:footnoteRef/>
      </w:r>
      <w:r w:rsidRPr="00B774EB">
        <w:rPr>
          <w:rFonts w:cs="Times New Roman"/>
          <w:sz w:val="20"/>
          <w:szCs w:val="20"/>
        </w:rPr>
        <w:t xml:space="preserve"> </w:t>
      </w:r>
      <w:proofErr w:type="gramStart"/>
      <w:r w:rsidRPr="00B774EB">
        <w:rPr>
          <w:rFonts w:cs="Times New Roman"/>
          <w:sz w:val="20"/>
          <w:szCs w:val="20"/>
        </w:rPr>
        <w:t xml:space="preserve">Rule 3.3 of the </w:t>
      </w:r>
      <w:r w:rsidRPr="00B774EB">
        <w:rPr>
          <w:rFonts w:cs="Times New Roman"/>
          <w:i/>
          <w:sz w:val="20"/>
          <w:szCs w:val="20"/>
        </w:rPr>
        <w:t>Model Rules</w:t>
      </w:r>
      <w:r w:rsidRPr="00B774EB">
        <w:rPr>
          <w:rFonts w:cs="Times New Roman"/>
          <w:sz w:val="20"/>
          <w:szCs w:val="20"/>
        </w:rPr>
        <w:t>.</w:t>
      </w:r>
      <w:proofErr w:type="gramEnd"/>
    </w:p>
  </w:footnote>
  <w:footnote w:id="27">
    <w:p w14:paraId="25F5E7A3" w14:textId="00D8BB15" w:rsidR="00A961D9" w:rsidRPr="00B774EB" w:rsidRDefault="00A961D9" w:rsidP="008F541E">
      <w:pPr>
        <w:pStyle w:val="FootnoteText"/>
        <w:spacing w:after="0"/>
        <w:rPr>
          <w:rFonts w:cs="Times New Roman"/>
          <w:i/>
          <w:sz w:val="20"/>
          <w:szCs w:val="20"/>
        </w:rPr>
      </w:pPr>
      <w:r w:rsidRPr="00B774EB">
        <w:rPr>
          <w:rStyle w:val="FootnoteReference"/>
          <w:rFonts w:cs="Times New Roman"/>
          <w:sz w:val="20"/>
          <w:szCs w:val="20"/>
        </w:rPr>
        <w:footnoteRef/>
      </w:r>
      <w:r w:rsidRPr="00B774EB">
        <w:rPr>
          <w:rFonts w:cs="Times New Roman"/>
          <w:sz w:val="20"/>
          <w:szCs w:val="20"/>
        </w:rPr>
        <w:t xml:space="preserve"> </w:t>
      </w:r>
      <w:proofErr w:type="gramStart"/>
      <w:r w:rsidRPr="00B774EB">
        <w:rPr>
          <w:rFonts w:cs="Times New Roman"/>
          <w:sz w:val="20"/>
          <w:szCs w:val="20"/>
        </w:rPr>
        <w:t xml:space="preserve">Rule 3.4 of the </w:t>
      </w:r>
      <w:r w:rsidRPr="00B774EB">
        <w:rPr>
          <w:rFonts w:cs="Times New Roman"/>
          <w:i/>
          <w:sz w:val="20"/>
          <w:szCs w:val="20"/>
        </w:rPr>
        <w:t>Model Rules.</w:t>
      </w:r>
      <w:proofErr w:type="gramEnd"/>
      <w:r w:rsidRPr="00B774EB">
        <w:rPr>
          <w:rFonts w:cs="Times New Roman"/>
          <w:i/>
          <w:sz w:val="20"/>
          <w:szCs w:val="20"/>
        </w:rPr>
        <w:t xml:space="preserve"> </w:t>
      </w:r>
    </w:p>
  </w:footnote>
  <w:footnote w:id="28">
    <w:p w14:paraId="43218E79" w14:textId="3F6E9AD2" w:rsidR="00A961D9" w:rsidRPr="00B774EB" w:rsidRDefault="00A961D9" w:rsidP="008F541E">
      <w:pPr>
        <w:pStyle w:val="FootnoteText"/>
        <w:spacing w:after="0"/>
        <w:rPr>
          <w:rFonts w:cs="Times New Roman"/>
          <w:sz w:val="20"/>
          <w:szCs w:val="20"/>
        </w:rPr>
      </w:pPr>
      <w:r w:rsidRPr="00B774EB">
        <w:rPr>
          <w:rStyle w:val="FootnoteReference"/>
          <w:rFonts w:cs="Times New Roman"/>
          <w:sz w:val="20"/>
          <w:szCs w:val="20"/>
        </w:rPr>
        <w:footnoteRef/>
      </w:r>
      <w:r w:rsidRPr="00B774EB">
        <w:rPr>
          <w:rFonts w:cs="Times New Roman"/>
          <w:sz w:val="20"/>
          <w:szCs w:val="20"/>
        </w:rPr>
        <w:t xml:space="preserve"> Section 4.3.1 of the </w:t>
      </w:r>
      <w:r w:rsidRPr="00B774EB">
        <w:rPr>
          <w:rFonts w:cs="Times New Roman"/>
          <w:i/>
          <w:sz w:val="20"/>
          <w:szCs w:val="20"/>
        </w:rPr>
        <w:t xml:space="preserve">Settlement Guidelines </w:t>
      </w:r>
      <w:r w:rsidRPr="00B774EB">
        <w:rPr>
          <w:rFonts w:cs="Times New Roman"/>
          <w:sz w:val="20"/>
          <w:szCs w:val="20"/>
        </w:rPr>
        <w:t xml:space="preserve">specifically states that </w:t>
      </w:r>
      <w:r w:rsidRPr="00B774EB">
        <w:rPr>
          <w:rFonts w:cs="Times New Roman"/>
          <w:i/>
          <w:sz w:val="20"/>
          <w:szCs w:val="20"/>
        </w:rPr>
        <w:t xml:space="preserve">“[a]n attorney may not employ the settlement process in bad faith.” </w:t>
      </w:r>
      <w:r w:rsidRPr="00B774EB">
        <w:rPr>
          <w:rFonts w:cs="Times New Roman"/>
          <w:sz w:val="20"/>
          <w:szCs w:val="20"/>
        </w:rPr>
        <w:t xml:space="preserve">However, </w:t>
      </w:r>
      <w:r w:rsidRPr="00B774EB">
        <w:rPr>
          <w:rFonts w:cs="Times New Roman"/>
          <w:i/>
          <w:sz w:val="20"/>
          <w:szCs w:val="20"/>
        </w:rPr>
        <w:t xml:space="preserve">“bad faith” </w:t>
      </w:r>
      <w:r w:rsidRPr="00B774EB">
        <w:rPr>
          <w:rFonts w:cs="Times New Roman"/>
          <w:sz w:val="20"/>
          <w:szCs w:val="20"/>
        </w:rPr>
        <w:t xml:space="preserve">does not include the sort of conduct contemplated here: see further Committee Notes to Section 4.3.1 providing examples of bad faith conduct. </w:t>
      </w:r>
    </w:p>
  </w:footnote>
  <w:footnote w:id="29">
    <w:p w14:paraId="694E1F41" w14:textId="2DE12D02" w:rsidR="00A961D9" w:rsidRPr="00B774EB" w:rsidRDefault="00A961D9" w:rsidP="008F541E">
      <w:pPr>
        <w:pStyle w:val="FootnoteText"/>
        <w:spacing w:after="0"/>
        <w:rPr>
          <w:rFonts w:cs="Times New Roman"/>
          <w:sz w:val="20"/>
          <w:szCs w:val="20"/>
        </w:rPr>
      </w:pPr>
      <w:r w:rsidRPr="00B774EB">
        <w:rPr>
          <w:rStyle w:val="FootnoteReference"/>
          <w:rFonts w:cs="Times New Roman"/>
          <w:sz w:val="20"/>
          <w:szCs w:val="20"/>
        </w:rPr>
        <w:footnoteRef/>
      </w:r>
      <w:r w:rsidRPr="00B774EB">
        <w:rPr>
          <w:rFonts w:cs="Times New Roman"/>
          <w:sz w:val="20"/>
          <w:szCs w:val="20"/>
        </w:rPr>
        <w:t xml:space="preserve"> See, </w:t>
      </w:r>
      <w:proofErr w:type="spellStart"/>
      <w:r w:rsidRPr="00B774EB">
        <w:rPr>
          <w:rFonts w:cs="Times New Roman"/>
          <w:sz w:val="20"/>
          <w:szCs w:val="20"/>
        </w:rPr>
        <w:t>eg</w:t>
      </w:r>
      <w:proofErr w:type="spellEnd"/>
      <w:r w:rsidRPr="00B774EB">
        <w:rPr>
          <w:rFonts w:cs="Times New Roman"/>
          <w:sz w:val="20"/>
          <w:szCs w:val="20"/>
        </w:rPr>
        <w:t xml:space="preserve">, Lawrence, above n 1; Peters, above n 2; </w:t>
      </w:r>
      <w:proofErr w:type="spellStart"/>
      <w:r w:rsidRPr="00B774EB">
        <w:rPr>
          <w:rFonts w:cs="Times New Roman"/>
          <w:sz w:val="20"/>
          <w:szCs w:val="20"/>
        </w:rPr>
        <w:t>Temkin</w:t>
      </w:r>
      <w:proofErr w:type="spellEnd"/>
      <w:r w:rsidRPr="00B774EB">
        <w:rPr>
          <w:rFonts w:cs="Times New Roman"/>
          <w:sz w:val="20"/>
          <w:szCs w:val="20"/>
        </w:rPr>
        <w:t xml:space="preserve">, above n 4; </w:t>
      </w:r>
      <w:proofErr w:type="spellStart"/>
      <w:r w:rsidRPr="00B774EB">
        <w:rPr>
          <w:rFonts w:cs="Times New Roman"/>
          <w:sz w:val="20"/>
          <w:szCs w:val="20"/>
        </w:rPr>
        <w:t>Tarlow</w:t>
      </w:r>
      <w:proofErr w:type="spellEnd"/>
      <w:r w:rsidRPr="00B774EB">
        <w:rPr>
          <w:rFonts w:cs="Times New Roman"/>
          <w:sz w:val="20"/>
          <w:szCs w:val="20"/>
        </w:rPr>
        <w:t xml:space="preserve"> and Sink, above n 5. </w:t>
      </w:r>
    </w:p>
  </w:footnote>
  <w:footnote w:id="30">
    <w:p w14:paraId="3D9EAECF" w14:textId="54A1D046" w:rsidR="00A961D9" w:rsidRPr="00B774EB" w:rsidRDefault="00A961D9" w:rsidP="008F541E">
      <w:pPr>
        <w:pStyle w:val="FootnoteText"/>
        <w:spacing w:after="0"/>
        <w:rPr>
          <w:rFonts w:cs="Times New Roman"/>
          <w:sz w:val="20"/>
          <w:szCs w:val="20"/>
        </w:rPr>
      </w:pPr>
      <w:r w:rsidRPr="00B774EB">
        <w:rPr>
          <w:rStyle w:val="FootnoteReference"/>
          <w:rFonts w:cs="Times New Roman"/>
          <w:sz w:val="20"/>
          <w:szCs w:val="20"/>
        </w:rPr>
        <w:footnoteRef/>
      </w:r>
      <w:r w:rsidRPr="00B774EB">
        <w:rPr>
          <w:rFonts w:cs="Times New Roman"/>
          <w:sz w:val="20"/>
          <w:szCs w:val="20"/>
        </w:rPr>
        <w:t xml:space="preserve"> </w:t>
      </w:r>
      <w:proofErr w:type="gramStart"/>
      <w:r w:rsidRPr="00B774EB">
        <w:rPr>
          <w:rFonts w:cs="Times New Roman"/>
          <w:sz w:val="20"/>
          <w:szCs w:val="20"/>
        </w:rPr>
        <w:t>571 F. Supp. 507 (E.D. Mich. 1983).</w:t>
      </w:r>
      <w:proofErr w:type="gramEnd"/>
    </w:p>
  </w:footnote>
  <w:footnote w:id="31">
    <w:p w14:paraId="5C45DB9E" w14:textId="63E8BC85" w:rsidR="00A961D9" w:rsidRPr="00B774EB" w:rsidRDefault="00A961D9" w:rsidP="008F541E">
      <w:pPr>
        <w:pStyle w:val="FootnoteText"/>
        <w:spacing w:after="0"/>
        <w:rPr>
          <w:rFonts w:cs="Times New Roman"/>
          <w:sz w:val="20"/>
          <w:szCs w:val="20"/>
        </w:rPr>
      </w:pPr>
      <w:r w:rsidRPr="00B774EB">
        <w:rPr>
          <w:rStyle w:val="FootnoteReference"/>
          <w:rFonts w:cs="Times New Roman"/>
          <w:sz w:val="20"/>
          <w:szCs w:val="20"/>
        </w:rPr>
        <w:footnoteRef/>
      </w:r>
      <w:r w:rsidRPr="00B774EB">
        <w:rPr>
          <w:rFonts w:cs="Times New Roman"/>
          <w:sz w:val="20"/>
          <w:szCs w:val="20"/>
        </w:rPr>
        <w:t xml:space="preserve"> </w:t>
      </w:r>
      <w:proofErr w:type="gramStart"/>
      <w:r w:rsidRPr="00B774EB">
        <w:rPr>
          <w:rFonts w:cs="Times New Roman"/>
          <w:i/>
          <w:sz w:val="20"/>
          <w:szCs w:val="20"/>
        </w:rPr>
        <w:t xml:space="preserve">Id. </w:t>
      </w:r>
      <w:r w:rsidRPr="00B774EB">
        <w:rPr>
          <w:rFonts w:cs="Times New Roman"/>
          <w:sz w:val="20"/>
          <w:szCs w:val="20"/>
        </w:rPr>
        <w:t>508, 511.</w:t>
      </w:r>
      <w:proofErr w:type="gramEnd"/>
    </w:p>
  </w:footnote>
  <w:footnote w:id="32">
    <w:p w14:paraId="61D84419" w14:textId="20F5DE32" w:rsidR="00A961D9" w:rsidRPr="00B774EB" w:rsidRDefault="00A961D9" w:rsidP="008F541E">
      <w:pPr>
        <w:pStyle w:val="FootnoteText"/>
        <w:spacing w:after="0"/>
        <w:rPr>
          <w:rFonts w:cs="Times New Roman"/>
          <w:sz w:val="20"/>
          <w:szCs w:val="20"/>
        </w:rPr>
      </w:pPr>
      <w:r w:rsidRPr="00B774EB">
        <w:rPr>
          <w:rStyle w:val="FootnoteReference"/>
          <w:rFonts w:cs="Times New Roman"/>
          <w:sz w:val="20"/>
          <w:szCs w:val="20"/>
        </w:rPr>
        <w:footnoteRef/>
      </w:r>
      <w:r w:rsidRPr="00B774EB">
        <w:rPr>
          <w:rFonts w:cs="Times New Roman"/>
          <w:sz w:val="20"/>
          <w:szCs w:val="20"/>
        </w:rPr>
        <w:t xml:space="preserve"> </w:t>
      </w:r>
      <w:r w:rsidRPr="00B774EB">
        <w:rPr>
          <w:rFonts w:cs="Times New Roman"/>
          <w:i/>
          <w:sz w:val="20"/>
          <w:szCs w:val="20"/>
        </w:rPr>
        <w:t xml:space="preserve">Id. </w:t>
      </w:r>
      <w:r w:rsidRPr="00B774EB">
        <w:rPr>
          <w:rFonts w:cs="Times New Roman"/>
          <w:sz w:val="20"/>
          <w:szCs w:val="20"/>
        </w:rPr>
        <w:t xml:space="preserve">512. </w:t>
      </w:r>
    </w:p>
  </w:footnote>
  <w:footnote w:id="33">
    <w:p w14:paraId="0F3E30AF" w14:textId="1F922EB3" w:rsidR="00A961D9" w:rsidRPr="00B774EB" w:rsidRDefault="00A961D9" w:rsidP="008F541E">
      <w:pPr>
        <w:pStyle w:val="FootnoteText"/>
        <w:spacing w:after="0"/>
        <w:rPr>
          <w:rFonts w:cs="Times New Roman"/>
          <w:sz w:val="20"/>
          <w:szCs w:val="20"/>
        </w:rPr>
      </w:pPr>
      <w:r w:rsidRPr="00B774EB">
        <w:rPr>
          <w:rStyle w:val="FootnoteReference"/>
          <w:rFonts w:cs="Times New Roman"/>
          <w:sz w:val="20"/>
          <w:szCs w:val="20"/>
        </w:rPr>
        <w:footnoteRef/>
      </w:r>
      <w:r w:rsidRPr="00B774EB">
        <w:rPr>
          <w:rFonts w:cs="Times New Roman"/>
          <w:sz w:val="20"/>
          <w:szCs w:val="20"/>
        </w:rPr>
        <w:t xml:space="preserve"> </w:t>
      </w:r>
      <w:r w:rsidRPr="00B774EB">
        <w:rPr>
          <w:rFonts w:cs="Times New Roman"/>
          <w:i/>
          <w:sz w:val="20"/>
          <w:szCs w:val="20"/>
        </w:rPr>
        <w:t xml:space="preserve">Id. </w:t>
      </w:r>
    </w:p>
  </w:footnote>
  <w:footnote w:id="34">
    <w:p w14:paraId="603A76A0" w14:textId="3200C125" w:rsidR="00A961D9" w:rsidRPr="00B774EB" w:rsidRDefault="00A961D9" w:rsidP="008F541E">
      <w:pPr>
        <w:pStyle w:val="FootnoteText"/>
        <w:spacing w:after="0"/>
        <w:rPr>
          <w:rFonts w:cs="Times New Roman"/>
          <w:sz w:val="20"/>
          <w:szCs w:val="20"/>
        </w:rPr>
      </w:pPr>
      <w:r w:rsidRPr="00B774EB">
        <w:rPr>
          <w:rStyle w:val="FootnoteReference"/>
          <w:rFonts w:cs="Times New Roman"/>
          <w:sz w:val="20"/>
          <w:szCs w:val="20"/>
        </w:rPr>
        <w:footnoteRef/>
      </w:r>
      <w:r w:rsidRPr="00B774EB">
        <w:rPr>
          <w:rFonts w:cs="Times New Roman"/>
          <w:sz w:val="20"/>
          <w:szCs w:val="20"/>
        </w:rPr>
        <w:t xml:space="preserve"> American Bar Association, Formal Ethics Opinion 94-397, Duty to Disclose Death of Client (1995). </w:t>
      </w:r>
    </w:p>
  </w:footnote>
  <w:footnote w:id="35">
    <w:p w14:paraId="7556D64A" w14:textId="572B6563" w:rsidR="00A961D9" w:rsidRPr="00B774EB" w:rsidRDefault="00A961D9" w:rsidP="008F541E">
      <w:pPr>
        <w:pStyle w:val="FootnoteText"/>
        <w:spacing w:after="0"/>
        <w:rPr>
          <w:rFonts w:cs="Times New Roman"/>
          <w:sz w:val="20"/>
          <w:szCs w:val="20"/>
        </w:rPr>
      </w:pPr>
      <w:r w:rsidRPr="00B774EB">
        <w:rPr>
          <w:rStyle w:val="FootnoteReference"/>
          <w:rFonts w:cs="Times New Roman"/>
          <w:sz w:val="20"/>
          <w:szCs w:val="20"/>
        </w:rPr>
        <w:footnoteRef/>
      </w:r>
      <w:r w:rsidRPr="00B774EB">
        <w:rPr>
          <w:rFonts w:cs="Times New Roman"/>
          <w:sz w:val="20"/>
          <w:szCs w:val="20"/>
        </w:rPr>
        <w:t xml:space="preserve"> See further Kaplan and Lawson, above n 10, 7-8. </w:t>
      </w:r>
    </w:p>
  </w:footnote>
  <w:footnote w:id="36">
    <w:p w14:paraId="0BEAAA6B" w14:textId="1C708B60" w:rsidR="00A961D9" w:rsidRPr="00B774EB" w:rsidRDefault="00A961D9" w:rsidP="008F541E">
      <w:pPr>
        <w:pStyle w:val="FootnoteText"/>
        <w:spacing w:after="0"/>
        <w:rPr>
          <w:rFonts w:cs="Times New Roman"/>
          <w:sz w:val="20"/>
          <w:szCs w:val="20"/>
        </w:rPr>
      </w:pPr>
      <w:r w:rsidRPr="00B774EB">
        <w:rPr>
          <w:rStyle w:val="FootnoteReference"/>
          <w:rFonts w:cs="Times New Roman"/>
          <w:sz w:val="20"/>
          <w:szCs w:val="20"/>
        </w:rPr>
        <w:footnoteRef/>
      </w:r>
      <w:r w:rsidRPr="00B774EB">
        <w:rPr>
          <w:rFonts w:cs="Times New Roman"/>
          <w:sz w:val="20"/>
          <w:szCs w:val="20"/>
        </w:rPr>
        <w:t xml:space="preserve"> </w:t>
      </w:r>
      <w:proofErr w:type="gramStart"/>
      <w:r w:rsidRPr="00B774EB">
        <w:rPr>
          <w:rFonts w:cs="Times New Roman"/>
          <w:sz w:val="20"/>
          <w:szCs w:val="20"/>
        </w:rPr>
        <w:t>Pennsylvania Bar Association Committee on Legal Ethics and Professional Responsibly, Informal Opinion 93-51 (1993); Virginia Bar Association Standing Committee on Legal Ethi</w:t>
      </w:r>
      <w:r>
        <w:rPr>
          <w:rFonts w:cs="Times New Roman"/>
          <w:sz w:val="20"/>
          <w:szCs w:val="20"/>
        </w:rPr>
        <w:t>cs, Opinion 952 (1987).</w:t>
      </w:r>
      <w:proofErr w:type="gramEnd"/>
      <w:r>
        <w:rPr>
          <w:rFonts w:cs="Times New Roman"/>
          <w:sz w:val="20"/>
          <w:szCs w:val="20"/>
        </w:rPr>
        <w:t xml:space="preserve"> </w:t>
      </w:r>
    </w:p>
  </w:footnote>
  <w:footnote w:id="37">
    <w:p w14:paraId="7838DCD2" w14:textId="19E9F944" w:rsidR="00A961D9" w:rsidRPr="00B774EB" w:rsidRDefault="00A961D9" w:rsidP="008F541E">
      <w:pPr>
        <w:pStyle w:val="FootnoteText"/>
        <w:spacing w:after="0"/>
        <w:rPr>
          <w:rFonts w:cs="Times New Roman"/>
          <w:sz w:val="20"/>
          <w:szCs w:val="20"/>
        </w:rPr>
      </w:pPr>
      <w:r w:rsidRPr="00B774EB">
        <w:rPr>
          <w:rStyle w:val="FootnoteReference"/>
          <w:rFonts w:cs="Times New Roman"/>
          <w:sz w:val="20"/>
          <w:szCs w:val="20"/>
        </w:rPr>
        <w:footnoteRef/>
      </w:r>
      <w:r w:rsidRPr="00B774EB">
        <w:rPr>
          <w:rFonts w:cs="Times New Roman"/>
          <w:sz w:val="20"/>
          <w:szCs w:val="20"/>
        </w:rPr>
        <w:t xml:space="preserve"> Illinoi State Bar Association, Advisory Opinion on Professional Conduct, Opinion 96-03 (1996).</w:t>
      </w:r>
    </w:p>
  </w:footnote>
  <w:footnote w:id="38">
    <w:p w14:paraId="042EA4D8" w14:textId="38BF9D9A" w:rsidR="00A961D9" w:rsidRPr="00B774EB" w:rsidRDefault="00A961D9" w:rsidP="008F541E">
      <w:pPr>
        <w:pStyle w:val="FootnoteText"/>
        <w:spacing w:after="0"/>
        <w:rPr>
          <w:rFonts w:cs="Times New Roman"/>
          <w:sz w:val="20"/>
          <w:szCs w:val="20"/>
        </w:rPr>
      </w:pPr>
      <w:r w:rsidRPr="00B774EB">
        <w:rPr>
          <w:rStyle w:val="FootnoteReference"/>
          <w:rFonts w:cs="Times New Roman"/>
          <w:sz w:val="20"/>
          <w:szCs w:val="20"/>
        </w:rPr>
        <w:footnoteRef/>
      </w:r>
      <w:r w:rsidRPr="00B774EB">
        <w:rPr>
          <w:rFonts w:cs="Times New Roman"/>
          <w:sz w:val="20"/>
          <w:szCs w:val="20"/>
        </w:rPr>
        <w:t xml:space="preserve"> See, </w:t>
      </w:r>
      <w:proofErr w:type="spellStart"/>
      <w:r w:rsidRPr="00B774EB">
        <w:rPr>
          <w:rFonts w:cs="Times New Roman"/>
          <w:sz w:val="20"/>
          <w:szCs w:val="20"/>
        </w:rPr>
        <w:t>eg</w:t>
      </w:r>
      <w:proofErr w:type="spellEnd"/>
      <w:r w:rsidRPr="00B774EB">
        <w:rPr>
          <w:rFonts w:cs="Times New Roman"/>
          <w:sz w:val="20"/>
          <w:szCs w:val="20"/>
        </w:rPr>
        <w:t xml:space="preserve">, </w:t>
      </w:r>
      <w:r w:rsidRPr="00B774EB">
        <w:rPr>
          <w:rFonts w:cs="Times New Roman"/>
          <w:i/>
          <w:sz w:val="20"/>
          <w:szCs w:val="20"/>
        </w:rPr>
        <w:t>People v. Rosen</w:t>
      </w:r>
      <w:r w:rsidRPr="00B774EB">
        <w:rPr>
          <w:rFonts w:cs="Times New Roman"/>
          <w:sz w:val="20"/>
          <w:szCs w:val="20"/>
        </w:rPr>
        <w:t xml:space="preserve">, 198 P.3d 116 (Colo. 2008); </w:t>
      </w:r>
      <w:r w:rsidRPr="00B774EB">
        <w:rPr>
          <w:rFonts w:cs="Times New Roman"/>
          <w:i/>
          <w:sz w:val="20"/>
          <w:szCs w:val="20"/>
        </w:rPr>
        <w:t>In re Lyons</w:t>
      </w:r>
      <w:r w:rsidRPr="00B774EB">
        <w:rPr>
          <w:rFonts w:cs="Times New Roman"/>
          <w:sz w:val="20"/>
          <w:szCs w:val="20"/>
        </w:rPr>
        <w:t xml:space="preserve">, 780 N.W.2d 629 (Minn. 2010); </w:t>
      </w:r>
      <w:r w:rsidRPr="00B774EB">
        <w:rPr>
          <w:rFonts w:cs="Times New Roman"/>
          <w:i/>
          <w:sz w:val="20"/>
          <w:szCs w:val="20"/>
        </w:rPr>
        <w:t>In re Forrest</w:t>
      </w:r>
      <w:r w:rsidRPr="00B774EB">
        <w:rPr>
          <w:rFonts w:cs="Times New Roman"/>
          <w:sz w:val="20"/>
          <w:szCs w:val="20"/>
        </w:rPr>
        <w:t>, 158 N.J. 428, 730 A.2d 340, 345–46 (1999).</w:t>
      </w:r>
    </w:p>
  </w:footnote>
  <w:footnote w:id="39">
    <w:p w14:paraId="6609B5F8" w14:textId="305978C5" w:rsidR="00A961D9" w:rsidRPr="00B774EB" w:rsidRDefault="00A961D9" w:rsidP="008F541E">
      <w:pPr>
        <w:pStyle w:val="FootnoteText"/>
        <w:spacing w:after="0"/>
        <w:rPr>
          <w:rFonts w:cs="Times New Roman"/>
          <w:sz w:val="20"/>
          <w:szCs w:val="20"/>
        </w:rPr>
      </w:pPr>
      <w:r w:rsidRPr="00B774EB">
        <w:rPr>
          <w:rStyle w:val="FootnoteReference"/>
          <w:rFonts w:cs="Times New Roman"/>
          <w:sz w:val="20"/>
          <w:szCs w:val="20"/>
        </w:rPr>
        <w:footnoteRef/>
      </w:r>
      <w:r w:rsidRPr="00B774EB">
        <w:rPr>
          <w:rFonts w:cs="Times New Roman"/>
          <w:sz w:val="20"/>
          <w:szCs w:val="20"/>
        </w:rPr>
        <w:t xml:space="preserve"> </w:t>
      </w:r>
      <w:proofErr w:type="gramStart"/>
      <w:r w:rsidRPr="00B774EB">
        <w:rPr>
          <w:rFonts w:cs="Times New Roman"/>
          <w:sz w:val="20"/>
          <w:szCs w:val="20"/>
        </w:rPr>
        <w:t>938 S.W.2d 578 (Ky. 1997).</w:t>
      </w:r>
      <w:proofErr w:type="gramEnd"/>
      <w:r w:rsidRPr="00B774EB">
        <w:rPr>
          <w:rFonts w:cs="Times New Roman"/>
          <w:sz w:val="20"/>
          <w:szCs w:val="20"/>
        </w:rPr>
        <w:t xml:space="preserve"> </w:t>
      </w:r>
    </w:p>
  </w:footnote>
  <w:footnote w:id="40">
    <w:p w14:paraId="5C91FEBC" w14:textId="226D580B" w:rsidR="00A961D9" w:rsidRPr="00B774EB" w:rsidRDefault="00A961D9" w:rsidP="008F541E">
      <w:pPr>
        <w:pStyle w:val="FootnoteText"/>
        <w:spacing w:after="0"/>
        <w:rPr>
          <w:rFonts w:cs="Times New Roman"/>
          <w:sz w:val="20"/>
          <w:szCs w:val="20"/>
        </w:rPr>
      </w:pPr>
      <w:r w:rsidRPr="00B774EB">
        <w:rPr>
          <w:rStyle w:val="FootnoteReference"/>
          <w:rFonts w:cs="Times New Roman"/>
          <w:sz w:val="20"/>
          <w:szCs w:val="20"/>
        </w:rPr>
        <w:footnoteRef/>
      </w:r>
      <w:r w:rsidRPr="00B774EB">
        <w:rPr>
          <w:rFonts w:cs="Times New Roman"/>
          <w:sz w:val="20"/>
          <w:szCs w:val="20"/>
        </w:rPr>
        <w:t xml:space="preserve"> </w:t>
      </w:r>
      <w:proofErr w:type="gramStart"/>
      <w:r w:rsidRPr="00B774EB">
        <w:rPr>
          <w:rFonts w:cs="Times New Roman"/>
          <w:i/>
          <w:sz w:val="20"/>
          <w:szCs w:val="20"/>
        </w:rPr>
        <w:t>Id</w:t>
      </w:r>
      <w:r w:rsidRPr="00B774EB">
        <w:rPr>
          <w:rFonts w:cs="Times New Roman"/>
          <w:sz w:val="20"/>
          <w:szCs w:val="20"/>
        </w:rPr>
        <w:t>, 580.</w:t>
      </w:r>
      <w:proofErr w:type="gramEnd"/>
      <w:r w:rsidRPr="00B774EB">
        <w:rPr>
          <w:rFonts w:cs="Times New Roman"/>
          <w:sz w:val="20"/>
          <w:szCs w:val="20"/>
        </w:rPr>
        <w:t xml:space="preserve"> </w:t>
      </w:r>
    </w:p>
  </w:footnote>
  <w:footnote w:id="41">
    <w:p w14:paraId="0811C956" w14:textId="0C0FFB49" w:rsidR="00A961D9" w:rsidRPr="00B774EB" w:rsidRDefault="00A961D9" w:rsidP="008F541E">
      <w:pPr>
        <w:pStyle w:val="FootnoteText"/>
        <w:spacing w:after="0"/>
        <w:rPr>
          <w:rFonts w:cs="Times New Roman"/>
          <w:sz w:val="20"/>
          <w:szCs w:val="20"/>
        </w:rPr>
      </w:pPr>
      <w:r w:rsidRPr="00B774EB">
        <w:rPr>
          <w:rStyle w:val="FootnoteReference"/>
          <w:rFonts w:cs="Times New Roman"/>
          <w:sz w:val="20"/>
          <w:szCs w:val="20"/>
        </w:rPr>
        <w:footnoteRef/>
      </w:r>
      <w:r w:rsidRPr="00B774EB">
        <w:rPr>
          <w:rFonts w:cs="Times New Roman"/>
          <w:sz w:val="20"/>
          <w:szCs w:val="20"/>
        </w:rPr>
        <w:t xml:space="preserve"> This issue is not confined to cases involving the death of a client. For example, Courts are also split regarding whether failure to disclose the existence of insurance coverage would constitute a false statement of material fact under Rule 4.1: See generally Kaplan and Lawson, above n 10, 7. </w:t>
      </w:r>
    </w:p>
  </w:footnote>
  <w:footnote w:id="42">
    <w:p w14:paraId="78B21FAE" w14:textId="1091CF29" w:rsidR="00A961D9" w:rsidRPr="00B774EB" w:rsidRDefault="00A961D9" w:rsidP="008F541E">
      <w:pPr>
        <w:pStyle w:val="FootnoteText"/>
        <w:spacing w:after="0"/>
        <w:rPr>
          <w:rFonts w:cs="Times New Roman"/>
          <w:i/>
          <w:sz w:val="20"/>
          <w:szCs w:val="20"/>
        </w:rPr>
      </w:pPr>
      <w:r w:rsidRPr="00B774EB">
        <w:rPr>
          <w:rStyle w:val="FootnoteReference"/>
          <w:rFonts w:cs="Times New Roman"/>
          <w:sz w:val="20"/>
          <w:szCs w:val="20"/>
        </w:rPr>
        <w:footnoteRef/>
      </w:r>
      <w:r w:rsidRPr="00B774EB">
        <w:rPr>
          <w:rFonts w:cs="Times New Roman"/>
          <w:sz w:val="20"/>
          <w:szCs w:val="20"/>
        </w:rPr>
        <w:t xml:space="preserve"> This conclusion is consistent with other opinions of the ABA Ethics Committee. See, </w:t>
      </w:r>
      <w:proofErr w:type="spellStart"/>
      <w:r w:rsidRPr="00B774EB">
        <w:rPr>
          <w:rFonts w:cs="Times New Roman"/>
          <w:sz w:val="20"/>
          <w:szCs w:val="20"/>
        </w:rPr>
        <w:t>eg</w:t>
      </w:r>
      <w:proofErr w:type="spellEnd"/>
      <w:r w:rsidRPr="00B774EB">
        <w:rPr>
          <w:rFonts w:cs="Times New Roman"/>
          <w:sz w:val="20"/>
          <w:szCs w:val="20"/>
        </w:rPr>
        <w:t xml:space="preserve">, American Bar Association, Formal Opinion 94-387, </w:t>
      </w:r>
      <w:r w:rsidRPr="00B774EB">
        <w:rPr>
          <w:rFonts w:cs="Times New Roman"/>
          <w:i/>
          <w:sz w:val="20"/>
          <w:szCs w:val="20"/>
        </w:rPr>
        <w:t xml:space="preserve">Disclosure to Opposing Party and Court That Stature of Limitations Has Run </w:t>
      </w:r>
      <w:r w:rsidRPr="00B774EB">
        <w:rPr>
          <w:rFonts w:cs="Times New Roman"/>
          <w:sz w:val="20"/>
          <w:szCs w:val="20"/>
        </w:rPr>
        <w:t>(1994).</w:t>
      </w:r>
    </w:p>
  </w:footnote>
  <w:footnote w:id="43">
    <w:p w14:paraId="65CBEDBD" w14:textId="47A06995" w:rsidR="00A961D9" w:rsidRPr="00B774EB" w:rsidRDefault="00A961D9" w:rsidP="008F541E">
      <w:pPr>
        <w:pStyle w:val="FootnoteText"/>
        <w:spacing w:after="0"/>
        <w:rPr>
          <w:rFonts w:cs="Times New Roman"/>
          <w:sz w:val="20"/>
          <w:szCs w:val="20"/>
        </w:rPr>
      </w:pPr>
      <w:r w:rsidRPr="00B774EB">
        <w:rPr>
          <w:rStyle w:val="FootnoteReference"/>
          <w:rFonts w:cs="Times New Roman"/>
          <w:sz w:val="20"/>
          <w:szCs w:val="20"/>
        </w:rPr>
        <w:footnoteRef/>
      </w:r>
      <w:r w:rsidRPr="00B774EB">
        <w:rPr>
          <w:rFonts w:cs="Times New Roman"/>
          <w:sz w:val="20"/>
          <w:szCs w:val="20"/>
        </w:rPr>
        <w:t xml:space="preserve"> Cooley, above n 15, 101-103, 106-107. </w:t>
      </w:r>
    </w:p>
  </w:footnote>
  <w:footnote w:id="44">
    <w:p w14:paraId="5B6C5036" w14:textId="3EB43D04" w:rsidR="00A961D9" w:rsidRPr="00B774EB" w:rsidRDefault="00A961D9" w:rsidP="008F541E">
      <w:pPr>
        <w:pStyle w:val="FootnoteText"/>
        <w:spacing w:after="0"/>
        <w:rPr>
          <w:rFonts w:cs="Times New Roman"/>
          <w:sz w:val="20"/>
          <w:szCs w:val="20"/>
        </w:rPr>
      </w:pPr>
      <w:r w:rsidRPr="00B774EB">
        <w:rPr>
          <w:rStyle w:val="FootnoteReference"/>
          <w:rFonts w:cs="Times New Roman"/>
          <w:sz w:val="20"/>
          <w:szCs w:val="20"/>
        </w:rPr>
        <w:footnoteRef/>
      </w:r>
      <w:r w:rsidRPr="00B774EB">
        <w:rPr>
          <w:rFonts w:cs="Times New Roman"/>
          <w:sz w:val="20"/>
          <w:szCs w:val="20"/>
        </w:rPr>
        <w:t xml:space="preserve"> James </w:t>
      </w:r>
      <w:proofErr w:type="spellStart"/>
      <w:r w:rsidRPr="00B774EB">
        <w:rPr>
          <w:rFonts w:cs="Times New Roman"/>
          <w:sz w:val="20"/>
          <w:szCs w:val="20"/>
        </w:rPr>
        <w:t>Alfini</w:t>
      </w:r>
      <w:proofErr w:type="spellEnd"/>
      <w:r w:rsidRPr="00B774EB">
        <w:rPr>
          <w:rFonts w:cs="Times New Roman"/>
          <w:sz w:val="20"/>
          <w:szCs w:val="20"/>
        </w:rPr>
        <w:t xml:space="preserve">, “Settlement Ethics and Lawyering in ADR Proceedings: A Proposal to Revise Rule 4.1” (1999) </w:t>
      </w:r>
      <w:r w:rsidRPr="00B774EB">
        <w:rPr>
          <w:rFonts w:cs="Times New Roman"/>
          <w:i/>
          <w:sz w:val="20"/>
          <w:szCs w:val="20"/>
        </w:rPr>
        <w:t>19 Northern Illinois University Law Review</w:t>
      </w:r>
      <w:r w:rsidRPr="00B774EB">
        <w:rPr>
          <w:rFonts w:cs="Times New Roman"/>
          <w:sz w:val="20"/>
          <w:szCs w:val="20"/>
        </w:rPr>
        <w:t xml:space="preserve"> 255, p 266. </w:t>
      </w:r>
    </w:p>
  </w:footnote>
  <w:footnote w:id="45">
    <w:p w14:paraId="11F422F3" w14:textId="42917DA7" w:rsidR="00A961D9" w:rsidRPr="00B774EB" w:rsidRDefault="00A961D9" w:rsidP="008F541E">
      <w:pPr>
        <w:pStyle w:val="FootnoteText"/>
        <w:spacing w:after="0"/>
        <w:rPr>
          <w:rFonts w:cs="Times New Roman"/>
          <w:sz w:val="20"/>
          <w:szCs w:val="20"/>
        </w:rPr>
      </w:pPr>
      <w:r w:rsidRPr="00B774EB">
        <w:rPr>
          <w:rStyle w:val="FootnoteReference"/>
          <w:rFonts w:cs="Times New Roman"/>
          <w:sz w:val="20"/>
          <w:szCs w:val="20"/>
        </w:rPr>
        <w:footnoteRef/>
      </w:r>
      <w:r w:rsidRPr="00B774EB">
        <w:rPr>
          <w:rFonts w:cs="Times New Roman"/>
          <w:sz w:val="20"/>
          <w:szCs w:val="20"/>
        </w:rPr>
        <w:t xml:space="preserve"> </w:t>
      </w:r>
      <w:proofErr w:type="gramStart"/>
      <w:r w:rsidRPr="00B774EB">
        <w:rPr>
          <w:rFonts w:cs="Times New Roman"/>
          <w:sz w:val="20"/>
          <w:szCs w:val="20"/>
        </w:rPr>
        <w:t xml:space="preserve">Preamble to the </w:t>
      </w:r>
      <w:r w:rsidRPr="00B774EB">
        <w:rPr>
          <w:rFonts w:cs="Times New Roman"/>
          <w:i/>
          <w:sz w:val="20"/>
          <w:szCs w:val="20"/>
        </w:rPr>
        <w:t>Model Rules</w:t>
      </w:r>
      <w:r w:rsidRPr="00B774EB">
        <w:rPr>
          <w:rFonts w:cs="Times New Roman"/>
          <w:sz w:val="20"/>
          <w:szCs w:val="20"/>
        </w:rPr>
        <w:t>.</w:t>
      </w:r>
      <w:proofErr w:type="gramEnd"/>
      <w:r w:rsidRPr="00B774EB">
        <w:rPr>
          <w:rFonts w:cs="Times New Roman"/>
          <w:sz w:val="20"/>
          <w:szCs w:val="20"/>
        </w:rPr>
        <w:t xml:space="preserve">  </w:t>
      </w:r>
    </w:p>
  </w:footnote>
  <w:footnote w:id="46">
    <w:p w14:paraId="17387ED3" w14:textId="07845374" w:rsidR="00A961D9" w:rsidRPr="00B774EB" w:rsidRDefault="00A961D9" w:rsidP="008F541E">
      <w:pPr>
        <w:pStyle w:val="FootnoteText"/>
        <w:spacing w:after="0"/>
        <w:rPr>
          <w:rFonts w:cs="Times New Roman"/>
          <w:sz w:val="20"/>
          <w:szCs w:val="20"/>
        </w:rPr>
      </w:pPr>
      <w:r w:rsidRPr="00B774EB">
        <w:rPr>
          <w:rStyle w:val="FootnoteReference"/>
          <w:rFonts w:cs="Times New Roman"/>
          <w:sz w:val="20"/>
          <w:szCs w:val="20"/>
        </w:rPr>
        <w:footnoteRef/>
      </w:r>
      <w:r w:rsidRPr="00B774EB">
        <w:rPr>
          <w:rFonts w:cs="Times New Roman"/>
          <w:sz w:val="20"/>
          <w:szCs w:val="20"/>
        </w:rPr>
        <w:t xml:space="preserve"> See above n 10.  </w:t>
      </w:r>
    </w:p>
  </w:footnote>
  <w:footnote w:id="47">
    <w:p w14:paraId="0F65F83A" w14:textId="2CE89527" w:rsidR="00A961D9" w:rsidRPr="00B774EB" w:rsidRDefault="00A961D9" w:rsidP="008F541E">
      <w:pPr>
        <w:pStyle w:val="FootnoteText"/>
        <w:spacing w:after="0"/>
        <w:rPr>
          <w:rFonts w:cs="Times New Roman"/>
          <w:i/>
          <w:sz w:val="20"/>
          <w:szCs w:val="20"/>
        </w:rPr>
      </w:pPr>
      <w:r w:rsidRPr="00B774EB">
        <w:rPr>
          <w:rStyle w:val="FootnoteReference"/>
          <w:rFonts w:cs="Times New Roman"/>
          <w:sz w:val="20"/>
          <w:szCs w:val="20"/>
        </w:rPr>
        <w:footnoteRef/>
      </w:r>
      <w:r w:rsidRPr="00B774EB">
        <w:rPr>
          <w:rFonts w:cs="Times New Roman"/>
          <w:sz w:val="20"/>
          <w:szCs w:val="20"/>
        </w:rPr>
        <w:t xml:space="preserve"> See, </w:t>
      </w:r>
      <w:proofErr w:type="spellStart"/>
      <w:r w:rsidRPr="00B774EB">
        <w:rPr>
          <w:rFonts w:cs="Times New Roman"/>
          <w:sz w:val="20"/>
          <w:szCs w:val="20"/>
        </w:rPr>
        <w:t>eg</w:t>
      </w:r>
      <w:proofErr w:type="spellEnd"/>
      <w:r w:rsidRPr="00B774EB">
        <w:rPr>
          <w:rFonts w:cs="Times New Roman"/>
          <w:sz w:val="20"/>
          <w:szCs w:val="20"/>
        </w:rPr>
        <w:t xml:space="preserve">, James White, “Machiavelli and the Bar: Ethical Limitations on Lying in Negotiation” (1980) </w:t>
      </w:r>
      <w:r w:rsidRPr="00B774EB">
        <w:rPr>
          <w:rFonts w:cs="Times New Roman"/>
          <w:i/>
          <w:sz w:val="20"/>
          <w:szCs w:val="20"/>
        </w:rPr>
        <w:t xml:space="preserve">American Bar Foundation Research Journal </w:t>
      </w:r>
      <w:r w:rsidRPr="00B774EB">
        <w:rPr>
          <w:rFonts w:cs="Times New Roman"/>
          <w:sz w:val="20"/>
          <w:szCs w:val="20"/>
        </w:rPr>
        <w:t xml:space="preserve">926, 929. </w:t>
      </w:r>
      <w:r w:rsidRPr="00B774EB">
        <w:rPr>
          <w:rFonts w:cs="Times New Roman"/>
          <w:i/>
          <w:sz w:val="20"/>
          <w:szCs w:val="20"/>
        </w:rPr>
        <w:t xml:space="preserve"> </w:t>
      </w:r>
    </w:p>
  </w:footnote>
  <w:footnote w:id="48">
    <w:p w14:paraId="7ACDF8E6" w14:textId="04EBC06F" w:rsidR="00A961D9" w:rsidRPr="00B774EB" w:rsidRDefault="00A961D9" w:rsidP="008F541E">
      <w:pPr>
        <w:pStyle w:val="FootnoteText"/>
        <w:spacing w:after="0"/>
        <w:rPr>
          <w:rFonts w:cs="Times New Roman"/>
          <w:sz w:val="20"/>
          <w:szCs w:val="20"/>
        </w:rPr>
      </w:pPr>
      <w:r w:rsidRPr="00B774EB">
        <w:rPr>
          <w:rStyle w:val="FootnoteReference"/>
          <w:rFonts w:cs="Times New Roman"/>
          <w:sz w:val="20"/>
          <w:szCs w:val="20"/>
        </w:rPr>
        <w:footnoteRef/>
      </w:r>
      <w:r w:rsidRPr="00B774EB">
        <w:rPr>
          <w:rFonts w:cs="Times New Roman"/>
          <w:sz w:val="20"/>
          <w:szCs w:val="20"/>
        </w:rPr>
        <w:t xml:space="preserve"> See, </w:t>
      </w:r>
      <w:proofErr w:type="spellStart"/>
      <w:r w:rsidRPr="00B774EB">
        <w:rPr>
          <w:rFonts w:cs="Times New Roman"/>
          <w:sz w:val="20"/>
          <w:szCs w:val="20"/>
        </w:rPr>
        <w:t>eg</w:t>
      </w:r>
      <w:proofErr w:type="spellEnd"/>
      <w:r w:rsidRPr="00B774EB">
        <w:rPr>
          <w:rFonts w:cs="Times New Roman"/>
          <w:sz w:val="20"/>
          <w:szCs w:val="20"/>
        </w:rPr>
        <w:t xml:space="preserve">, Thomas Guernsey, “Truthfulness in Negotiation” (1982) 17 </w:t>
      </w:r>
      <w:r w:rsidRPr="00B774EB">
        <w:rPr>
          <w:rFonts w:cs="Times New Roman"/>
          <w:i/>
          <w:sz w:val="20"/>
          <w:szCs w:val="20"/>
        </w:rPr>
        <w:t xml:space="preserve">University of Richmond Law Review </w:t>
      </w:r>
      <w:r w:rsidRPr="00B774EB">
        <w:rPr>
          <w:rFonts w:cs="Times New Roman"/>
          <w:sz w:val="20"/>
          <w:szCs w:val="20"/>
        </w:rPr>
        <w:t xml:space="preserve">99, 125, suggesting the use of a </w:t>
      </w:r>
      <w:r w:rsidRPr="00B774EB">
        <w:rPr>
          <w:rFonts w:cs="Times New Roman"/>
          <w:i/>
          <w:sz w:val="20"/>
          <w:szCs w:val="20"/>
        </w:rPr>
        <w:t xml:space="preserve">“caveat lawyer” </w:t>
      </w:r>
      <w:r w:rsidRPr="00B774EB">
        <w:rPr>
          <w:rFonts w:cs="Times New Roman"/>
          <w:sz w:val="20"/>
          <w:szCs w:val="20"/>
        </w:rPr>
        <w:t xml:space="preserve">rule. See also </w:t>
      </w:r>
      <w:proofErr w:type="spellStart"/>
      <w:r w:rsidRPr="00B774EB">
        <w:rPr>
          <w:rFonts w:cs="Times New Roman"/>
          <w:sz w:val="20"/>
          <w:szCs w:val="20"/>
        </w:rPr>
        <w:t>Temkin</w:t>
      </w:r>
      <w:proofErr w:type="spellEnd"/>
      <w:r w:rsidRPr="00B774EB">
        <w:rPr>
          <w:rFonts w:cs="Times New Roman"/>
          <w:sz w:val="20"/>
          <w:szCs w:val="20"/>
        </w:rPr>
        <w:t xml:space="preserve">, above n 4. </w:t>
      </w:r>
    </w:p>
  </w:footnote>
  <w:footnote w:id="49">
    <w:p w14:paraId="4B32920E" w14:textId="756D087F" w:rsidR="00A961D9" w:rsidRPr="00B774EB" w:rsidRDefault="00A961D9" w:rsidP="008F541E">
      <w:pPr>
        <w:pStyle w:val="FootnoteText"/>
        <w:spacing w:after="0"/>
        <w:rPr>
          <w:rFonts w:cs="Times New Roman"/>
          <w:sz w:val="20"/>
          <w:szCs w:val="20"/>
        </w:rPr>
      </w:pPr>
      <w:r w:rsidRPr="00B774EB">
        <w:rPr>
          <w:rStyle w:val="FootnoteReference"/>
          <w:rFonts w:cs="Times New Roman"/>
          <w:sz w:val="20"/>
          <w:szCs w:val="20"/>
        </w:rPr>
        <w:footnoteRef/>
      </w:r>
      <w:r w:rsidRPr="00B774EB">
        <w:rPr>
          <w:rFonts w:cs="Times New Roman"/>
          <w:sz w:val="20"/>
          <w:szCs w:val="20"/>
        </w:rPr>
        <w:t xml:space="preserve"> See Burns, above n 3, 696-7. </w:t>
      </w:r>
    </w:p>
  </w:footnote>
  <w:footnote w:id="50">
    <w:p w14:paraId="05648C94" w14:textId="5FA114A9" w:rsidR="00A961D9" w:rsidRPr="00B774EB" w:rsidRDefault="00A961D9" w:rsidP="008F541E">
      <w:pPr>
        <w:pStyle w:val="FootnoteText"/>
        <w:spacing w:after="0"/>
        <w:rPr>
          <w:rFonts w:cs="Times New Roman"/>
          <w:sz w:val="20"/>
          <w:szCs w:val="20"/>
        </w:rPr>
      </w:pPr>
      <w:r w:rsidRPr="00B774EB">
        <w:rPr>
          <w:rStyle w:val="FootnoteReference"/>
          <w:rFonts w:cs="Times New Roman"/>
          <w:sz w:val="20"/>
          <w:szCs w:val="20"/>
        </w:rPr>
        <w:footnoteRef/>
      </w:r>
      <w:r w:rsidRPr="00B774EB">
        <w:rPr>
          <w:rFonts w:cs="Times New Roman"/>
          <w:sz w:val="20"/>
          <w:szCs w:val="20"/>
        </w:rPr>
        <w:t xml:space="preserve"> </w:t>
      </w:r>
      <w:proofErr w:type="spellStart"/>
      <w:proofErr w:type="gramStart"/>
      <w:r w:rsidRPr="00B774EB">
        <w:rPr>
          <w:rFonts w:cs="Times New Roman"/>
          <w:sz w:val="20"/>
          <w:szCs w:val="20"/>
        </w:rPr>
        <w:t>Alfini</w:t>
      </w:r>
      <w:proofErr w:type="spellEnd"/>
      <w:r w:rsidRPr="00B774EB">
        <w:rPr>
          <w:rFonts w:cs="Times New Roman"/>
          <w:sz w:val="20"/>
          <w:szCs w:val="20"/>
        </w:rPr>
        <w:t>, above n 44, 270-1.</w:t>
      </w:r>
      <w:proofErr w:type="gramEnd"/>
      <w:r w:rsidRPr="00B774EB">
        <w:rPr>
          <w:rFonts w:cs="Times New Roman"/>
          <w:sz w:val="20"/>
          <w:szCs w:val="20"/>
        </w:rPr>
        <w:t xml:space="preserve"> </w:t>
      </w:r>
    </w:p>
  </w:footnote>
  <w:footnote w:id="51">
    <w:p w14:paraId="46B0EDF5" w14:textId="12660B41" w:rsidR="00A961D9" w:rsidRPr="00B774EB" w:rsidRDefault="00A961D9" w:rsidP="008F541E">
      <w:pPr>
        <w:pStyle w:val="FootnoteText"/>
        <w:spacing w:after="0"/>
        <w:rPr>
          <w:rFonts w:cs="Times New Roman"/>
          <w:sz w:val="20"/>
          <w:szCs w:val="20"/>
        </w:rPr>
      </w:pPr>
      <w:r w:rsidRPr="00B774EB">
        <w:rPr>
          <w:rStyle w:val="FootnoteReference"/>
          <w:rFonts w:cs="Times New Roman"/>
          <w:sz w:val="20"/>
          <w:szCs w:val="20"/>
        </w:rPr>
        <w:footnoteRef/>
      </w:r>
      <w:r w:rsidRPr="00B774EB">
        <w:rPr>
          <w:rFonts w:cs="Times New Roman"/>
          <w:sz w:val="20"/>
          <w:szCs w:val="20"/>
        </w:rPr>
        <w:t xml:space="preserve"> </w:t>
      </w:r>
      <w:r w:rsidRPr="00B774EB">
        <w:rPr>
          <w:rFonts w:cs="Times New Roman"/>
          <w:i/>
          <w:sz w:val="20"/>
          <w:szCs w:val="20"/>
        </w:rPr>
        <w:t>Id</w:t>
      </w:r>
      <w:r w:rsidRPr="00B774EB">
        <w:rPr>
          <w:rFonts w:cs="Times New Roman"/>
          <w:sz w:val="20"/>
          <w:szCs w:val="20"/>
        </w:rPr>
        <w:t xml:space="preserve">. </w:t>
      </w:r>
    </w:p>
  </w:footnote>
  <w:footnote w:id="52">
    <w:p w14:paraId="29E65D6A" w14:textId="539EB2C7" w:rsidR="00A961D9" w:rsidRPr="00B774EB" w:rsidRDefault="00A961D9" w:rsidP="008F541E">
      <w:pPr>
        <w:pStyle w:val="FootnoteText"/>
        <w:spacing w:after="0"/>
        <w:rPr>
          <w:rFonts w:cs="Times New Roman"/>
          <w:sz w:val="20"/>
          <w:szCs w:val="20"/>
        </w:rPr>
      </w:pPr>
      <w:r w:rsidRPr="00B774EB">
        <w:rPr>
          <w:rStyle w:val="FootnoteReference"/>
          <w:rFonts w:cs="Times New Roman"/>
          <w:sz w:val="20"/>
          <w:szCs w:val="20"/>
        </w:rPr>
        <w:footnoteRef/>
      </w:r>
      <w:r w:rsidRPr="00B774EB">
        <w:rPr>
          <w:rFonts w:cs="Times New Roman"/>
          <w:sz w:val="20"/>
          <w:szCs w:val="20"/>
        </w:rPr>
        <w:t xml:space="preserve"> There is precedent for this approach in other common law jurisdictions. In Australia, for example, lawyers engaged in mediation owe the same duties of honesty and candor that they owe in litigation. See, generally, </w:t>
      </w:r>
      <w:proofErr w:type="spellStart"/>
      <w:r w:rsidRPr="00B774EB">
        <w:rPr>
          <w:rFonts w:cs="Times New Roman"/>
          <w:sz w:val="20"/>
          <w:szCs w:val="20"/>
        </w:rPr>
        <w:t>Bobette</w:t>
      </w:r>
      <w:proofErr w:type="spellEnd"/>
      <w:r w:rsidRPr="00B774EB">
        <w:rPr>
          <w:rFonts w:cs="Times New Roman"/>
          <w:sz w:val="20"/>
          <w:szCs w:val="20"/>
        </w:rPr>
        <w:t xml:space="preserve"> </w:t>
      </w:r>
      <w:proofErr w:type="spellStart"/>
      <w:r w:rsidRPr="00B774EB">
        <w:rPr>
          <w:rFonts w:cs="Times New Roman"/>
          <w:sz w:val="20"/>
          <w:szCs w:val="20"/>
        </w:rPr>
        <w:t>Wolski</w:t>
      </w:r>
      <w:proofErr w:type="spellEnd"/>
      <w:r w:rsidRPr="00B774EB">
        <w:rPr>
          <w:rFonts w:cs="Times New Roman"/>
          <w:sz w:val="20"/>
          <w:szCs w:val="20"/>
        </w:rPr>
        <w:t xml:space="preserve">, “The Truth </w:t>
      </w:r>
      <w:proofErr w:type="gramStart"/>
      <w:r w:rsidRPr="00B774EB">
        <w:rPr>
          <w:rFonts w:cs="Times New Roman"/>
          <w:sz w:val="20"/>
          <w:szCs w:val="20"/>
        </w:rPr>
        <w:t>About</w:t>
      </w:r>
      <w:proofErr w:type="gramEnd"/>
      <w:r w:rsidRPr="00B774EB">
        <w:rPr>
          <w:rFonts w:cs="Times New Roman"/>
          <w:sz w:val="20"/>
          <w:szCs w:val="20"/>
        </w:rPr>
        <w:t xml:space="preserve"> Honesty and </w:t>
      </w:r>
      <w:proofErr w:type="spellStart"/>
      <w:r w:rsidRPr="00B774EB">
        <w:rPr>
          <w:rFonts w:cs="Times New Roman"/>
          <w:sz w:val="20"/>
          <w:szCs w:val="20"/>
        </w:rPr>
        <w:t>Candour</w:t>
      </w:r>
      <w:proofErr w:type="spellEnd"/>
      <w:r w:rsidRPr="00B774EB">
        <w:rPr>
          <w:rFonts w:cs="Times New Roman"/>
          <w:sz w:val="20"/>
          <w:szCs w:val="20"/>
        </w:rPr>
        <w:t xml:space="preserve"> in Mediation: What the Tribunal Left Unsaid in Mullins’ Case” (2012) </w:t>
      </w:r>
      <w:r w:rsidRPr="00B774EB">
        <w:rPr>
          <w:rFonts w:cs="Times New Roman"/>
          <w:i/>
          <w:sz w:val="20"/>
          <w:szCs w:val="20"/>
        </w:rPr>
        <w:t>Melbourne University Law Review</w:t>
      </w:r>
      <w:r w:rsidRPr="00B774EB">
        <w:rPr>
          <w:rFonts w:cs="Times New Roman"/>
          <w:sz w:val="20"/>
          <w:szCs w:val="20"/>
        </w:rPr>
        <w:t xml:space="preserve"> 706. See, also, Peters, above n 2, 121 noting that previous calls for such a reform have been ignored. </w:t>
      </w:r>
    </w:p>
  </w:footnote>
  <w:footnote w:id="53">
    <w:p w14:paraId="37F74B2A" w14:textId="77777777" w:rsidR="00A961D9" w:rsidRPr="00B774EB" w:rsidRDefault="00A961D9" w:rsidP="00A961D9">
      <w:pPr>
        <w:pStyle w:val="FootnoteText"/>
        <w:spacing w:after="0"/>
        <w:rPr>
          <w:rFonts w:cs="Times New Roman"/>
          <w:sz w:val="20"/>
          <w:szCs w:val="20"/>
        </w:rPr>
      </w:pPr>
      <w:r w:rsidRPr="00B774EB">
        <w:rPr>
          <w:rStyle w:val="FootnoteReference"/>
          <w:rFonts w:cs="Times New Roman"/>
          <w:sz w:val="20"/>
          <w:szCs w:val="20"/>
        </w:rPr>
        <w:footnoteRef/>
      </w:r>
      <w:r w:rsidRPr="00B774EB">
        <w:rPr>
          <w:rFonts w:cs="Times New Roman"/>
          <w:sz w:val="20"/>
          <w:szCs w:val="20"/>
        </w:rPr>
        <w:t xml:space="preserve"> </w:t>
      </w:r>
      <w:proofErr w:type="spellStart"/>
      <w:proofErr w:type="gramStart"/>
      <w:r w:rsidRPr="00B774EB">
        <w:rPr>
          <w:rFonts w:cs="Times New Roman"/>
          <w:i/>
          <w:sz w:val="20"/>
          <w:szCs w:val="20"/>
        </w:rPr>
        <w:t>Virzi</w:t>
      </w:r>
      <w:proofErr w:type="spellEnd"/>
      <w:r w:rsidRPr="00B774EB">
        <w:rPr>
          <w:rFonts w:cs="Times New Roman"/>
          <w:i/>
          <w:sz w:val="20"/>
          <w:szCs w:val="20"/>
        </w:rPr>
        <w:t xml:space="preserve"> v. Grand Trunk Warehouse &amp; Cold Storage Co</w:t>
      </w:r>
      <w:r w:rsidRPr="00B774EB">
        <w:rPr>
          <w:rFonts w:cs="Times New Roman"/>
          <w:sz w:val="20"/>
          <w:szCs w:val="20"/>
        </w:rPr>
        <w:t xml:space="preserve"> 571 F. Supp. 507 (E.D. Mich. 1983), quoting with approval from Alvin Rubin, "A Causerie on Lawyers’ Ethics in Negotiations” (1975) 35(3) </w:t>
      </w:r>
      <w:r w:rsidRPr="00B774EB">
        <w:rPr>
          <w:rFonts w:cs="Times New Roman"/>
          <w:i/>
          <w:sz w:val="20"/>
          <w:szCs w:val="20"/>
        </w:rPr>
        <w:t>Louisiana Law Review</w:t>
      </w:r>
      <w:r w:rsidRPr="00B774EB">
        <w:rPr>
          <w:rFonts w:cs="Times New Roman"/>
          <w:sz w:val="20"/>
          <w:szCs w:val="20"/>
        </w:rPr>
        <w:t xml:space="preserve"> 577.</w:t>
      </w:r>
      <w:proofErr w:type="gramEnd"/>
      <w:r w:rsidRPr="00B774EB">
        <w:rPr>
          <w:rFonts w:cs="Times New Roman"/>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30E2"/>
    <w:multiLevelType w:val="hybridMultilevel"/>
    <w:tmpl w:val="0CB24B8E"/>
    <w:lvl w:ilvl="0" w:tplc="B5C27620">
      <w:start w:val="1"/>
      <w:numFmt w:val="upperRoman"/>
      <w:pStyle w:val="Heading1"/>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614E25"/>
    <w:multiLevelType w:val="hybridMultilevel"/>
    <w:tmpl w:val="5428F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5665C0"/>
    <w:multiLevelType w:val="hybridMultilevel"/>
    <w:tmpl w:val="9AC4C3FC"/>
    <w:lvl w:ilvl="0" w:tplc="55C8351A">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BA048B"/>
    <w:multiLevelType w:val="hybridMultilevel"/>
    <w:tmpl w:val="FBB4C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
    <w:lvlOverride w:ilvl="0">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766"/>
    <w:rsid w:val="000078F2"/>
    <w:rsid w:val="00014764"/>
    <w:rsid w:val="00020544"/>
    <w:rsid w:val="000311A7"/>
    <w:rsid w:val="0003494D"/>
    <w:rsid w:val="00040DDA"/>
    <w:rsid w:val="000454D4"/>
    <w:rsid w:val="00047F20"/>
    <w:rsid w:val="00050428"/>
    <w:rsid w:val="000569F9"/>
    <w:rsid w:val="00062067"/>
    <w:rsid w:val="000669F8"/>
    <w:rsid w:val="00073AC2"/>
    <w:rsid w:val="00073B35"/>
    <w:rsid w:val="00076628"/>
    <w:rsid w:val="00087BFB"/>
    <w:rsid w:val="000926E0"/>
    <w:rsid w:val="000964FE"/>
    <w:rsid w:val="000A7BFE"/>
    <w:rsid w:val="000B239E"/>
    <w:rsid w:val="000B641D"/>
    <w:rsid w:val="000C2360"/>
    <w:rsid w:val="000C4D79"/>
    <w:rsid w:val="000C6104"/>
    <w:rsid w:val="000C765A"/>
    <w:rsid w:val="000C7803"/>
    <w:rsid w:val="000D25B4"/>
    <w:rsid w:val="000D2BAB"/>
    <w:rsid w:val="000D3620"/>
    <w:rsid w:val="000E554A"/>
    <w:rsid w:val="00101CCE"/>
    <w:rsid w:val="00113DAF"/>
    <w:rsid w:val="001152E5"/>
    <w:rsid w:val="001157EF"/>
    <w:rsid w:val="001175C3"/>
    <w:rsid w:val="00124DC3"/>
    <w:rsid w:val="00126F20"/>
    <w:rsid w:val="001329ED"/>
    <w:rsid w:val="001342A6"/>
    <w:rsid w:val="001411CB"/>
    <w:rsid w:val="00145A2B"/>
    <w:rsid w:val="00152885"/>
    <w:rsid w:val="00153AC1"/>
    <w:rsid w:val="00161E7D"/>
    <w:rsid w:val="00164127"/>
    <w:rsid w:val="00166401"/>
    <w:rsid w:val="00167413"/>
    <w:rsid w:val="00172A9C"/>
    <w:rsid w:val="00173C65"/>
    <w:rsid w:val="0017499D"/>
    <w:rsid w:val="00182C57"/>
    <w:rsid w:val="00183A5A"/>
    <w:rsid w:val="001954C4"/>
    <w:rsid w:val="00197457"/>
    <w:rsid w:val="001A1A9F"/>
    <w:rsid w:val="001A7DB6"/>
    <w:rsid w:val="001B0476"/>
    <w:rsid w:val="001B127F"/>
    <w:rsid w:val="001B1663"/>
    <w:rsid w:val="001B5CD4"/>
    <w:rsid w:val="001B7A0D"/>
    <w:rsid w:val="001C28AD"/>
    <w:rsid w:val="001C580D"/>
    <w:rsid w:val="001C7B4B"/>
    <w:rsid w:val="001D2598"/>
    <w:rsid w:val="001D3B93"/>
    <w:rsid w:val="001D5B4C"/>
    <w:rsid w:val="001E671D"/>
    <w:rsid w:val="001E7B78"/>
    <w:rsid w:val="001F00BE"/>
    <w:rsid w:val="001F21EF"/>
    <w:rsid w:val="001F380A"/>
    <w:rsid w:val="001F5A80"/>
    <w:rsid w:val="001F67EC"/>
    <w:rsid w:val="001F6A95"/>
    <w:rsid w:val="00215685"/>
    <w:rsid w:val="00217D8C"/>
    <w:rsid w:val="00220964"/>
    <w:rsid w:val="002216FC"/>
    <w:rsid w:val="00223D04"/>
    <w:rsid w:val="0023277F"/>
    <w:rsid w:val="002332F1"/>
    <w:rsid w:val="00234861"/>
    <w:rsid w:val="00234D8A"/>
    <w:rsid w:val="002372B0"/>
    <w:rsid w:val="0024009B"/>
    <w:rsid w:val="00242876"/>
    <w:rsid w:val="00250091"/>
    <w:rsid w:val="00255E82"/>
    <w:rsid w:val="0025757C"/>
    <w:rsid w:val="002636F1"/>
    <w:rsid w:val="002666F2"/>
    <w:rsid w:val="00275F8B"/>
    <w:rsid w:val="002766A2"/>
    <w:rsid w:val="00277F87"/>
    <w:rsid w:val="00281D7A"/>
    <w:rsid w:val="00285E0F"/>
    <w:rsid w:val="0029248B"/>
    <w:rsid w:val="0029439E"/>
    <w:rsid w:val="002A14FF"/>
    <w:rsid w:val="002A6644"/>
    <w:rsid w:val="002B1107"/>
    <w:rsid w:val="002B4D22"/>
    <w:rsid w:val="002C0F22"/>
    <w:rsid w:val="002C1B85"/>
    <w:rsid w:val="002C207F"/>
    <w:rsid w:val="002C6A7B"/>
    <w:rsid w:val="002D0EAD"/>
    <w:rsid w:val="002D340B"/>
    <w:rsid w:val="002D36D2"/>
    <w:rsid w:val="002D3C4A"/>
    <w:rsid w:val="002E0AD7"/>
    <w:rsid w:val="002E2612"/>
    <w:rsid w:val="002E3060"/>
    <w:rsid w:val="002E5340"/>
    <w:rsid w:val="002F0431"/>
    <w:rsid w:val="002F2CA8"/>
    <w:rsid w:val="002F425D"/>
    <w:rsid w:val="002F763D"/>
    <w:rsid w:val="00301222"/>
    <w:rsid w:val="00301F36"/>
    <w:rsid w:val="00301F58"/>
    <w:rsid w:val="00302137"/>
    <w:rsid w:val="00311BFE"/>
    <w:rsid w:val="00311DDE"/>
    <w:rsid w:val="003149CF"/>
    <w:rsid w:val="0031668D"/>
    <w:rsid w:val="00325418"/>
    <w:rsid w:val="003345FE"/>
    <w:rsid w:val="0033566C"/>
    <w:rsid w:val="003419DB"/>
    <w:rsid w:val="00343070"/>
    <w:rsid w:val="00345149"/>
    <w:rsid w:val="00350FB0"/>
    <w:rsid w:val="00353BAF"/>
    <w:rsid w:val="003554D9"/>
    <w:rsid w:val="0036163F"/>
    <w:rsid w:val="00370C39"/>
    <w:rsid w:val="00371993"/>
    <w:rsid w:val="003767A7"/>
    <w:rsid w:val="00386660"/>
    <w:rsid w:val="0038673F"/>
    <w:rsid w:val="0039487A"/>
    <w:rsid w:val="003955B7"/>
    <w:rsid w:val="00397492"/>
    <w:rsid w:val="003A456B"/>
    <w:rsid w:val="003A7314"/>
    <w:rsid w:val="003A7A0A"/>
    <w:rsid w:val="003B2CD7"/>
    <w:rsid w:val="003B7881"/>
    <w:rsid w:val="003C0937"/>
    <w:rsid w:val="003C25FD"/>
    <w:rsid w:val="003C2828"/>
    <w:rsid w:val="003C532E"/>
    <w:rsid w:val="003D09B2"/>
    <w:rsid w:val="003D2AA7"/>
    <w:rsid w:val="003D4769"/>
    <w:rsid w:val="003D664F"/>
    <w:rsid w:val="003D7EBE"/>
    <w:rsid w:val="003E29B9"/>
    <w:rsid w:val="003E7030"/>
    <w:rsid w:val="003F09F8"/>
    <w:rsid w:val="003F1187"/>
    <w:rsid w:val="003F3AD2"/>
    <w:rsid w:val="003F3D52"/>
    <w:rsid w:val="003F755F"/>
    <w:rsid w:val="00401115"/>
    <w:rsid w:val="004076C0"/>
    <w:rsid w:val="004133A8"/>
    <w:rsid w:val="00417CA2"/>
    <w:rsid w:val="00417D4F"/>
    <w:rsid w:val="004201B2"/>
    <w:rsid w:val="00420965"/>
    <w:rsid w:val="004254DD"/>
    <w:rsid w:val="00426ADC"/>
    <w:rsid w:val="00427920"/>
    <w:rsid w:val="00430CEE"/>
    <w:rsid w:val="00447469"/>
    <w:rsid w:val="004479B3"/>
    <w:rsid w:val="004512D7"/>
    <w:rsid w:val="00452185"/>
    <w:rsid w:val="00452947"/>
    <w:rsid w:val="00456B20"/>
    <w:rsid w:val="00471B37"/>
    <w:rsid w:val="00472D90"/>
    <w:rsid w:val="00472ED6"/>
    <w:rsid w:val="00475D7C"/>
    <w:rsid w:val="00480AB3"/>
    <w:rsid w:val="0048135E"/>
    <w:rsid w:val="004818E2"/>
    <w:rsid w:val="004909AA"/>
    <w:rsid w:val="0049398A"/>
    <w:rsid w:val="004A0773"/>
    <w:rsid w:val="004A2F01"/>
    <w:rsid w:val="004A5C47"/>
    <w:rsid w:val="004B219C"/>
    <w:rsid w:val="004B725F"/>
    <w:rsid w:val="004C0AE7"/>
    <w:rsid w:val="004D09AF"/>
    <w:rsid w:val="004D7501"/>
    <w:rsid w:val="004E608F"/>
    <w:rsid w:val="004E6B46"/>
    <w:rsid w:val="004E7E0F"/>
    <w:rsid w:val="004F438F"/>
    <w:rsid w:val="004F61CB"/>
    <w:rsid w:val="004F7722"/>
    <w:rsid w:val="005009F7"/>
    <w:rsid w:val="00531CBD"/>
    <w:rsid w:val="00533525"/>
    <w:rsid w:val="00540489"/>
    <w:rsid w:val="00546C01"/>
    <w:rsid w:val="005525A1"/>
    <w:rsid w:val="00555125"/>
    <w:rsid w:val="0057326D"/>
    <w:rsid w:val="00577B7F"/>
    <w:rsid w:val="00580E3B"/>
    <w:rsid w:val="00581012"/>
    <w:rsid w:val="00591C93"/>
    <w:rsid w:val="005926A6"/>
    <w:rsid w:val="005A79C3"/>
    <w:rsid w:val="005B068C"/>
    <w:rsid w:val="005B12A3"/>
    <w:rsid w:val="005B26E5"/>
    <w:rsid w:val="005B3EBC"/>
    <w:rsid w:val="005B7CCF"/>
    <w:rsid w:val="005C3E08"/>
    <w:rsid w:val="005C499B"/>
    <w:rsid w:val="005C4A0E"/>
    <w:rsid w:val="005C6F91"/>
    <w:rsid w:val="005C7365"/>
    <w:rsid w:val="005C7CFF"/>
    <w:rsid w:val="005C7ED9"/>
    <w:rsid w:val="005D44E5"/>
    <w:rsid w:val="005D6072"/>
    <w:rsid w:val="005E0CDC"/>
    <w:rsid w:val="005E1BA5"/>
    <w:rsid w:val="005E4415"/>
    <w:rsid w:val="005F5224"/>
    <w:rsid w:val="0060584C"/>
    <w:rsid w:val="00606AA2"/>
    <w:rsid w:val="006103A3"/>
    <w:rsid w:val="0061705F"/>
    <w:rsid w:val="006200AB"/>
    <w:rsid w:val="00621968"/>
    <w:rsid w:val="00622140"/>
    <w:rsid w:val="00623E47"/>
    <w:rsid w:val="00630D29"/>
    <w:rsid w:val="00632095"/>
    <w:rsid w:val="00634BD4"/>
    <w:rsid w:val="0063682D"/>
    <w:rsid w:val="0063778C"/>
    <w:rsid w:val="00645FE2"/>
    <w:rsid w:val="00646649"/>
    <w:rsid w:val="00651708"/>
    <w:rsid w:val="00654032"/>
    <w:rsid w:val="00661454"/>
    <w:rsid w:val="006658EB"/>
    <w:rsid w:val="00675D07"/>
    <w:rsid w:val="00676C7D"/>
    <w:rsid w:val="006801FE"/>
    <w:rsid w:val="00685ECA"/>
    <w:rsid w:val="00687C78"/>
    <w:rsid w:val="00695A54"/>
    <w:rsid w:val="00695D42"/>
    <w:rsid w:val="006974B9"/>
    <w:rsid w:val="006A10A4"/>
    <w:rsid w:val="006A3B00"/>
    <w:rsid w:val="006A3F83"/>
    <w:rsid w:val="006A4C2A"/>
    <w:rsid w:val="006A6CE7"/>
    <w:rsid w:val="006B0B06"/>
    <w:rsid w:val="006B1049"/>
    <w:rsid w:val="006B4F51"/>
    <w:rsid w:val="006C2041"/>
    <w:rsid w:val="006C3B90"/>
    <w:rsid w:val="006D0C34"/>
    <w:rsid w:val="006D14FC"/>
    <w:rsid w:val="006D66D6"/>
    <w:rsid w:val="006E28C7"/>
    <w:rsid w:val="006E3A12"/>
    <w:rsid w:val="00707DD7"/>
    <w:rsid w:val="00710B8E"/>
    <w:rsid w:val="00712E20"/>
    <w:rsid w:val="00713743"/>
    <w:rsid w:val="00723AF0"/>
    <w:rsid w:val="007246C5"/>
    <w:rsid w:val="007308F0"/>
    <w:rsid w:val="00734C77"/>
    <w:rsid w:val="0073569F"/>
    <w:rsid w:val="00736C49"/>
    <w:rsid w:val="00737CB0"/>
    <w:rsid w:val="007417B4"/>
    <w:rsid w:val="007422F4"/>
    <w:rsid w:val="007437CD"/>
    <w:rsid w:val="00746FC8"/>
    <w:rsid w:val="00752159"/>
    <w:rsid w:val="0075238C"/>
    <w:rsid w:val="00752EBB"/>
    <w:rsid w:val="00757627"/>
    <w:rsid w:val="00757CC2"/>
    <w:rsid w:val="007613B4"/>
    <w:rsid w:val="00763435"/>
    <w:rsid w:val="00763D44"/>
    <w:rsid w:val="007649F7"/>
    <w:rsid w:val="00765B2E"/>
    <w:rsid w:val="00767940"/>
    <w:rsid w:val="00773178"/>
    <w:rsid w:val="00781868"/>
    <w:rsid w:val="007819FC"/>
    <w:rsid w:val="00795B23"/>
    <w:rsid w:val="00797EA1"/>
    <w:rsid w:val="007A273F"/>
    <w:rsid w:val="007A636B"/>
    <w:rsid w:val="007A766B"/>
    <w:rsid w:val="007B69E2"/>
    <w:rsid w:val="007C4842"/>
    <w:rsid w:val="007D1E6A"/>
    <w:rsid w:val="007D1F71"/>
    <w:rsid w:val="007D3D6B"/>
    <w:rsid w:val="007D5782"/>
    <w:rsid w:val="007D7914"/>
    <w:rsid w:val="007E1805"/>
    <w:rsid w:val="00801181"/>
    <w:rsid w:val="008047F0"/>
    <w:rsid w:val="00805C9C"/>
    <w:rsid w:val="008066AD"/>
    <w:rsid w:val="008149AE"/>
    <w:rsid w:val="00815BFA"/>
    <w:rsid w:val="00815F39"/>
    <w:rsid w:val="00817D21"/>
    <w:rsid w:val="00825C6C"/>
    <w:rsid w:val="008318D4"/>
    <w:rsid w:val="00831E52"/>
    <w:rsid w:val="008361C9"/>
    <w:rsid w:val="00840255"/>
    <w:rsid w:val="00846A08"/>
    <w:rsid w:val="0085175B"/>
    <w:rsid w:val="00854FEF"/>
    <w:rsid w:val="00856004"/>
    <w:rsid w:val="00857B65"/>
    <w:rsid w:val="00860781"/>
    <w:rsid w:val="00863CAD"/>
    <w:rsid w:val="0087083D"/>
    <w:rsid w:val="008857D9"/>
    <w:rsid w:val="00891309"/>
    <w:rsid w:val="00893786"/>
    <w:rsid w:val="00895007"/>
    <w:rsid w:val="00897C14"/>
    <w:rsid w:val="008A0AAC"/>
    <w:rsid w:val="008A2ABD"/>
    <w:rsid w:val="008A3B32"/>
    <w:rsid w:val="008A42A8"/>
    <w:rsid w:val="008A7D78"/>
    <w:rsid w:val="008B0455"/>
    <w:rsid w:val="008B1B5D"/>
    <w:rsid w:val="008B34DE"/>
    <w:rsid w:val="008D2B74"/>
    <w:rsid w:val="008E06BA"/>
    <w:rsid w:val="008F541E"/>
    <w:rsid w:val="008F6436"/>
    <w:rsid w:val="008F7DA0"/>
    <w:rsid w:val="00903A1E"/>
    <w:rsid w:val="00904140"/>
    <w:rsid w:val="009045E7"/>
    <w:rsid w:val="0090517C"/>
    <w:rsid w:val="009068EC"/>
    <w:rsid w:val="0090690B"/>
    <w:rsid w:val="00916968"/>
    <w:rsid w:val="00921D72"/>
    <w:rsid w:val="00922EC1"/>
    <w:rsid w:val="009253C4"/>
    <w:rsid w:val="009271C3"/>
    <w:rsid w:val="0092791F"/>
    <w:rsid w:val="00935864"/>
    <w:rsid w:val="009367E4"/>
    <w:rsid w:val="0094064E"/>
    <w:rsid w:val="00940E2F"/>
    <w:rsid w:val="00947C73"/>
    <w:rsid w:val="00972441"/>
    <w:rsid w:val="00973CDE"/>
    <w:rsid w:val="009759E3"/>
    <w:rsid w:val="00990F20"/>
    <w:rsid w:val="00993279"/>
    <w:rsid w:val="00996BC4"/>
    <w:rsid w:val="009A25F0"/>
    <w:rsid w:val="009A538C"/>
    <w:rsid w:val="009A7232"/>
    <w:rsid w:val="009B1008"/>
    <w:rsid w:val="009B4605"/>
    <w:rsid w:val="009C5BC7"/>
    <w:rsid w:val="009C70AB"/>
    <w:rsid w:val="009D0083"/>
    <w:rsid w:val="009D0388"/>
    <w:rsid w:val="009D42BA"/>
    <w:rsid w:val="009E4D40"/>
    <w:rsid w:val="009E7B11"/>
    <w:rsid w:val="00A0357B"/>
    <w:rsid w:val="00A04639"/>
    <w:rsid w:val="00A07C72"/>
    <w:rsid w:val="00A20A05"/>
    <w:rsid w:val="00A21126"/>
    <w:rsid w:val="00A25766"/>
    <w:rsid w:val="00A35350"/>
    <w:rsid w:val="00A41741"/>
    <w:rsid w:val="00A50B6F"/>
    <w:rsid w:val="00A516E2"/>
    <w:rsid w:val="00A52213"/>
    <w:rsid w:val="00A601F9"/>
    <w:rsid w:val="00A63CCB"/>
    <w:rsid w:val="00A64CD8"/>
    <w:rsid w:val="00A72F3F"/>
    <w:rsid w:val="00A730BB"/>
    <w:rsid w:val="00A73E10"/>
    <w:rsid w:val="00A77B1A"/>
    <w:rsid w:val="00A81CC3"/>
    <w:rsid w:val="00A961D9"/>
    <w:rsid w:val="00A9691C"/>
    <w:rsid w:val="00A9704C"/>
    <w:rsid w:val="00AA3C86"/>
    <w:rsid w:val="00AA6BA5"/>
    <w:rsid w:val="00AA6C87"/>
    <w:rsid w:val="00AB287B"/>
    <w:rsid w:val="00AB3DAF"/>
    <w:rsid w:val="00AB636A"/>
    <w:rsid w:val="00AC689C"/>
    <w:rsid w:val="00AC7547"/>
    <w:rsid w:val="00AD24BF"/>
    <w:rsid w:val="00AD2F35"/>
    <w:rsid w:val="00AD4101"/>
    <w:rsid w:val="00AD68AB"/>
    <w:rsid w:val="00AE0180"/>
    <w:rsid w:val="00AE142E"/>
    <w:rsid w:val="00AE407C"/>
    <w:rsid w:val="00AF5971"/>
    <w:rsid w:val="00AF7A59"/>
    <w:rsid w:val="00B02F69"/>
    <w:rsid w:val="00B0406B"/>
    <w:rsid w:val="00B12622"/>
    <w:rsid w:val="00B1335B"/>
    <w:rsid w:val="00B145DB"/>
    <w:rsid w:val="00B23C76"/>
    <w:rsid w:val="00B263B8"/>
    <w:rsid w:val="00B26620"/>
    <w:rsid w:val="00B26653"/>
    <w:rsid w:val="00B34817"/>
    <w:rsid w:val="00B45400"/>
    <w:rsid w:val="00B4607A"/>
    <w:rsid w:val="00B47F06"/>
    <w:rsid w:val="00B538B8"/>
    <w:rsid w:val="00B552FE"/>
    <w:rsid w:val="00B65756"/>
    <w:rsid w:val="00B6678D"/>
    <w:rsid w:val="00B71596"/>
    <w:rsid w:val="00B746F4"/>
    <w:rsid w:val="00B7559A"/>
    <w:rsid w:val="00B76B32"/>
    <w:rsid w:val="00B774EB"/>
    <w:rsid w:val="00B85043"/>
    <w:rsid w:val="00B8554F"/>
    <w:rsid w:val="00B865C6"/>
    <w:rsid w:val="00B91CBE"/>
    <w:rsid w:val="00B96C11"/>
    <w:rsid w:val="00BB0ADA"/>
    <w:rsid w:val="00BB3467"/>
    <w:rsid w:val="00BB7206"/>
    <w:rsid w:val="00BB7AE6"/>
    <w:rsid w:val="00BC06F6"/>
    <w:rsid w:val="00BE1F6E"/>
    <w:rsid w:val="00BE6947"/>
    <w:rsid w:val="00C06BBB"/>
    <w:rsid w:val="00C130C5"/>
    <w:rsid w:val="00C13F2B"/>
    <w:rsid w:val="00C145A7"/>
    <w:rsid w:val="00C164AD"/>
    <w:rsid w:val="00C22F0C"/>
    <w:rsid w:val="00C23119"/>
    <w:rsid w:val="00C41F6D"/>
    <w:rsid w:val="00C45154"/>
    <w:rsid w:val="00C4729D"/>
    <w:rsid w:val="00C53B92"/>
    <w:rsid w:val="00C53D44"/>
    <w:rsid w:val="00C57D98"/>
    <w:rsid w:val="00C615B6"/>
    <w:rsid w:val="00C63232"/>
    <w:rsid w:val="00C72CA1"/>
    <w:rsid w:val="00C75BE2"/>
    <w:rsid w:val="00C75EBF"/>
    <w:rsid w:val="00C84866"/>
    <w:rsid w:val="00C86C18"/>
    <w:rsid w:val="00C90C51"/>
    <w:rsid w:val="00C917BB"/>
    <w:rsid w:val="00C91867"/>
    <w:rsid w:val="00C936B5"/>
    <w:rsid w:val="00C94323"/>
    <w:rsid w:val="00C967BA"/>
    <w:rsid w:val="00CA30FA"/>
    <w:rsid w:val="00CA3BA9"/>
    <w:rsid w:val="00CA7916"/>
    <w:rsid w:val="00CB33DC"/>
    <w:rsid w:val="00CB4672"/>
    <w:rsid w:val="00CB6430"/>
    <w:rsid w:val="00CB7181"/>
    <w:rsid w:val="00CB75F6"/>
    <w:rsid w:val="00CD59D4"/>
    <w:rsid w:val="00CD5CF7"/>
    <w:rsid w:val="00CD6207"/>
    <w:rsid w:val="00CD6948"/>
    <w:rsid w:val="00CE1824"/>
    <w:rsid w:val="00CE1E57"/>
    <w:rsid w:val="00CE4A9E"/>
    <w:rsid w:val="00CE4C99"/>
    <w:rsid w:val="00D00B02"/>
    <w:rsid w:val="00D020F8"/>
    <w:rsid w:val="00D03CC4"/>
    <w:rsid w:val="00D107CD"/>
    <w:rsid w:val="00D130D0"/>
    <w:rsid w:val="00D140E1"/>
    <w:rsid w:val="00D143D4"/>
    <w:rsid w:val="00D3379B"/>
    <w:rsid w:val="00D358DC"/>
    <w:rsid w:val="00D44660"/>
    <w:rsid w:val="00D47943"/>
    <w:rsid w:val="00D57DEE"/>
    <w:rsid w:val="00D61209"/>
    <w:rsid w:val="00D6603D"/>
    <w:rsid w:val="00D72A4F"/>
    <w:rsid w:val="00D74224"/>
    <w:rsid w:val="00D81332"/>
    <w:rsid w:val="00D816C6"/>
    <w:rsid w:val="00D82097"/>
    <w:rsid w:val="00D91F41"/>
    <w:rsid w:val="00D9419C"/>
    <w:rsid w:val="00D94418"/>
    <w:rsid w:val="00DA1B84"/>
    <w:rsid w:val="00DA2DB0"/>
    <w:rsid w:val="00DA66C2"/>
    <w:rsid w:val="00DB043A"/>
    <w:rsid w:val="00DB0CDC"/>
    <w:rsid w:val="00DC0638"/>
    <w:rsid w:val="00DD1C9C"/>
    <w:rsid w:val="00DE11C1"/>
    <w:rsid w:val="00DE3233"/>
    <w:rsid w:val="00DE4F5D"/>
    <w:rsid w:val="00DF3342"/>
    <w:rsid w:val="00DF6A3E"/>
    <w:rsid w:val="00E0052B"/>
    <w:rsid w:val="00E1121D"/>
    <w:rsid w:val="00E14C39"/>
    <w:rsid w:val="00E169DE"/>
    <w:rsid w:val="00E27E22"/>
    <w:rsid w:val="00E30539"/>
    <w:rsid w:val="00E308D8"/>
    <w:rsid w:val="00E5012A"/>
    <w:rsid w:val="00E50C1A"/>
    <w:rsid w:val="00E51EB8"/>
    <w:rsid w:val="00E53BA2"/>
    <w:rsid w:val="00E55019"/>
    <w:rsid w:val="00E646FE"/>
    <w:rsid w:val="00E74171"/>
    <w:rsid w:val="00E769BA"/>
    <w:rsid w:val="00E76E8C"/>
    <w:rsid w:val="00E811E6"/>
    <w:rsid w:val="00E834C4"/>
    <w:rsid w:val="00E83AEF"/>
    <w:rsid w:val="00E84CE4"/>
    <w:rsid w:val="00E92388"/>
    <w:rsid w:val="00E93E59"/>
    <w:rsid w:val="00EA1531"/>
    <w:rsid w:val="00EB027E"/>
    <w:rsid w:val="00EB343D"/>
    <w:rsid w:val="00EB3D14"/>
    <w:rsid w:val="00EC0CA1"/>
    <w:rsid w:val="00EC77C4"/>
    <w:rsid w:val="00EE0F6C"/>
    <w:rsid w:val="00EE4F34"/>
    <w:rsid w:val="00EF70BA"/>
    <w:rsid w:val="00F16B7E"/>
    <w:rsid w:val="00F204AF"/>
    <w:rsid w:val="00F20C8D"/>
    <w:rsid w:val="00F2188A"/>
    <w:rsid w:val="00F22698"/>
    <w:rsid w:val="00F30AE5"/>
    <w:rsid w:val="00F40ECA"/>
    <w:rsid w:val="00F47C41"/>
    <w:rsid w:val="00F50A44"/>
    <w:rsid w:val="00F51CDC"/>
    <w:rsid w:val="00F52063"/>
    <w:rsid w:val="00F533FA"/>
    <w:rsid w:val="00F55FB1"/>
    <w:rsid w:val="00F74E10"/>
    <w:rsid w:val="00F829DC"/>
    <w:rsid w:val="00F82F53"/>
    <w:rsid w:val="00F86B34"/>
    <w:rsid w:val="00F87A09"/>
    <w:rsid w:val="00F94E2C"/>
    <w:rsid w:val="00FA15F8"/>
    <w:rsid w:val="00FA3A27"/>
    <w:rsid w:val="00FB6C24"/>
    <w:rsid w:val="00FB746E"/>
    <w:rsid w:val="00FC401B"/>
    <w:rsid w:val="00FC7D18"/>
    <w:rsid w:val="00FD4B4D"/>
    <w:rsid w:val="00FE2904"/>
    <w:rsid w:val="00FF4996"/>
    <w:rsid w:val="00FF5AC5"/>
    <w:rsid w:val="00FF6DB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7C86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4EB"/>
    <w:pPr>
      <w:spacing w:after="160" w:line="480" w:lineRule="auto"/>
    </w:pPr>
    <w:rPr>
      <w:rFonts w:ascii="Times New Roman" w:hAnsi="Times New Roman"/>
      <w:lang w:val="en-US"/>
    </w:rPr>
  </w:style>
  <w:style w:type="paragraph" w:styleId="Heading1">
    <w:name w:val="heading 1"/>
    <w:basedOn w:val="Normal"/>
    <w:next w:val="Normal"/>
    <w:link w:val="Heading1Char"/>
    <w:uiPriority w:val="9"/>
    <w:qFormat/>
    <w:rsid w:val="00D9419C"/>
    <w:pPr>
      <w:keepNext/>
      <w:keepLines/>
      <w:numPr>
        <w:numId w:val="1"/>
      </w:numPr>
      <w:spacing w:before="240" w:after="0"/>
      <w:ind w:left="454" w:hanging="227"/>
      <w:outlineLvl w:val="0"/>
    </w:pPr>
    <w:rPr>
      <w:rFonts w:eastAsiaTheme="majorEastAsia" w:cstheme="majorBidi"/>
      <w:b/>
      <w:bCs/>
      <w:smallCaps/>
      <w:color w:val="000000" w:themeColor="text1"/>
      <w:sz w:val="26"/>
      <w:szCs w:val="26"/>
    </w:rPr>
  </w:style>
  <w:style w:type="paragraph" w:styleId="Heading2">
    <w:name w:val="heading 2"/>
    <w:basedOn w:val="Normal"/>
    <w:next w:val="Normal"/>
    <w:link w:val="Heading2Char"/>
    <w:uiPriority w:val="9"/>
    <w:unhideWhenUsed/>
    <w:qFormat/>
    <w:rsid w:val="00D9419C"/>
    <w:pPr>
      <w:keepNext/>
      <w:keepLines/>
      <w:numPr>
        <w:numId w:val="2"/>
      </w:numPr>
      <w:spacing w:before="240" w:after="0"/>
      <w:ind w:left="908" w:hanging="454"/>
      <w:outlineLvl w:val="1"/>
    </w:pPr>
    <w:rPr>
      <w:rFonts w:eastAsiaTheme="majorEastAsia" w:cstheme="majorBidi"/>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19C"/>
    <w:rPr>
      <w:rFonts w:ascii="Times New Roman" w:eastAsiaTheme="majorEastAsia" w:hAnsi="Times New Roman" w:cstheme="majorBidi"/>
      <w:b/>
      <w:bCs/>
      <w:smallCaps/>
      <w:color w:val="000000" w:themeColor="text1"/>
      <w:sz w:val="26"/>
      <w:szCs w:val="26"/>
      <w:lang w:val="en-US"/>
    </w:rPr>
  </w:style>
  <w:style w:type="character" w:customStyle="1" w:styleId="Heading2Char">
    <w:name w:val="Heading 2 Char"/>
    <w:basedOn w:val="DefaultParagraphFont"/>
    <w:link w:val="Heading2"/>
    <w:uiPriority w:val="9"/>
    <w:rsid w:val="00D9419C"/>
    <w:rPr>
      <w:rFonts w:ascii="Times New Roman" w:eastAsiaTheme="majorEastAsia" w:hAnsi="Times New Roman" w:cstheme="majorBidi"/>
      <w:b/>
      <w:bCs/>
      <w:color w:val="000000" w:themeColor="text1"/>
      <w:szCs w:val="26"/>
      <w:lang w:val="en-US"/>
    </w:rPr>
  </w:style>
  <w:style w:type="paragraph" w:styleId="Title">
    <w:name w:val="Title"/>
    <w:basedOn w:val="Normal"/>
    <w:next w:val="Normal"/>
    <w:link w:val="TitleChar"/>
    <w:uiPriority w:val="10"/>
    <w:qFormat/>
    <w:rsid w:val="0031668D"/>
    <w:pPr>
      <w:pBdr>
        <w:bottom w:val="single" w:sz="8" w:space="4" w:color="4F81BD" w:themeColor="accent1"/>
      </w:pBdr>
      <w:spacing w:after="300" w:line="240" w:lineRule="auto"/>
      <w:contextualSpacing/>
      <w:jc w:val="center"/>
    </w:pPr>
    <w:rPr>
      <w:rFonts w:eastAsiaTheme="majorEastAsia" w:cstheme="majorBidi"/>
      <w:smallCaps/>
      <w:color w:val="000000" w:themeColor="text1"/>
      <w:spacing w:val="5"/>
      <w:kern w:val="28"/>
      <w:sz w:val="28"/>
      <w:szCs w:val="28"/>
    </w:rPr>
  </w:style>
  <w:style w:type="character" w:customStyle="1" w:styleId="TitleChar">
    <w:name w:val="Title Char"/>
    <w:basedOn w:val="DefaultParagraphFont"/>
    <w:link w:val="Title"/>
    <w:uiPriority w:val="10"/>
    <w:rsid w:val="0031668D"/>
    <w:rPr>
      <w:rFonts w:asciiTheme="majorHAnsi" w:eastAsiaTheme="majorEastAsia" w:hAnsiTheme="majorHAnsi" w:cstheme="majorBidi"/>
      <w:smallCaps/>
      <w:color w:val="000000" w:themeColor="text1"/>
      <w:spacing w:val="5"/>
      <w:kern w:val="28"/>
      <w:sz w:val="28"/>
      <w:szCs w:val="28"/>
    </w:rPr>
  </w:style>
  <w:style w:type="paragraph" w:styleId="Footer">
    <w:name w:val="footer"/>
    <w:basedOn w:val="Normal"/>
    <w:link w:val="FooterChar"/>
    <w:uiPriority w:val="99"/>
    <w:unhideWhenUsed/>
    <w:rsid w:val="003D09B2"/>
    <w:pPr>
      <w:tabs>
        <w:tab w:val="center" w:pos="4320"/>
        <w:tab w:val="right" w:pos="8640"/>
      </w:tabs>
      <w:spacing w:line="240" w:lineRule="auto"/>
    </w:pPr>
  </w:style>
  <w:style w:type="character" w:customStyle="1" w:styleId="FooterChar">
    <w:name w:val="Footer Char"/>
    <w:basedOn w:val="DefaultParagraphFont"/>
    <w:link w:val="Footer"/>
    <w:uiPriority w:val="99"/>
    <w:rsid w:val="003D09B2"/>
    <w:rPr>
      <w:rFonts w:asciiTheme="majorHAnsi" w:hAnsiTheme="majorHAnsi"/>
      <w:lang w:val="en-US"/>
    </w:rPr>
  </w:style>
  <w:style w:type="character" w:styleId="PageNumber">
    <w:name w:val="page number"/>
    <w:basedOn w:val="DefaultParagraphFont"/>
    <w:uiPriority w:val="99"/>
    <w:semiHidden/>
    <w:unhideWhenUsed/>
    <w:rsid w:val="003D09B2"/>
  </w:style>
  <w:style w:type="paragraph" w:styleId="FootnoteText">
    <w:name w:val="footnote text"/>
    <w:basedOn w:val="Normal"/>
    <w:link w:val="FootnoteTextChar"/>
    <w:uiPriority w:val="99"/>
    <w:unhideWhenUsed/>
    <w:rsid w:val="002D3C4A"/>
    <w:pPr>
      <w:spacing w:line="240" w:lineRule="auto"/>
    </w:pPr>
  </w:style>
  <w:style w:type="character" w:customStyle="1" w:styleId="FootnoteTextChar">
    <w:name w:val="Footnote Text Char"/>
    <w:basedOn w:val="DefaultParagraphFont"/>
    <w:link w:val="FootnoteText"/>
    <w:uiPriority w:val="99"/>
    <w:rsid w:val="002D3C4A"/>
    <w:rPr>
      <w:rFonts w:asciiTheme="majorHAnsi" w:hAnsiTheme="majorHAnsi"/>
      <w:lang w:val="en-US"/>
    </w:rPr>
  </w:style>
  <w:style w:type="character" w:styleId="FootnoteReference">
    <w:name w:val="footnote reference"/>
    <w:basedOn w:val="DefaultParagraphFont"/>
    <w:uiPriority w:val="99"/>
    <w:unhideWhenUsed/>
    <w:rsid w:val="002D3C4A"/>
    <w:rPr>
      <w:vertAlign w:val="superscript"/>
    </w:rPr>
  </w:style>
  <w:style w:type="paragraph" w:styleId="Quote">
    <w:name w:val="Quote"/>
    <w:basedOn w:val="Normal"/>
    <w:next w:val="Normal"/>
    <w:link w:val="QuoteChar"/>
    <w:uiPriority w:val="29"/>
    <w:qFormat/>
    <w:rsid w:val="00B774EB"/>
    <w:pPr>
      <w:spacing w:after="400" w:line="240" w:lineRule="auto"/>
      <w:ind w:left="567"/>
    </w:pPr>
    <w:rPr>
      <w:i/>
      <w:iCs/>
      <w:color w:val="000000" w:themeColor="text1"/>
    </w:rPr>
  </w:style>
  <w:style w:type="character" w:customStyle="1" w:styleId="QuoteChar">
    <w:name w:val="Quote Char"/>
    <w:basedOn w:val="DefaultParagraphFont"/>
    <w:link w:val="Quote"/>
    <w:uiPriority w:val="29"/>
    <w:rsid w:val="00B774EB"/>
    <w:rPr>
      <w:rFonts w:ascii="Times New Roman" w:hAnsi="Times New Roman"/>
      <w:i/>
      <w:iCs/>
      <w:color w:val="000000" w:themeColor="text1"/>
      <w:lang w:val="en-US"/>
    </w:rPr>
  </w:style>
  <w:style w:type="paragraph" w:styleId="BalloonText">
    <w:name w:val="Balloon Text"/>
    <w:basedOn w:val="Normal"/>
    <w:link w:val="BalloonTextChar"/>
    <w:uiPriority w:val="99"/>
    <w:semiHidden/>
    <w:unhideWhenUsed/>
    <w:rsid w:val="0006206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2067"/>
    <w:rPr>
      <w:rFonts w:ascii="Lucida Grande" w:hAnsi="Lucida Grande" w:cs="Lucida Grande"/>
      <w:sz w:val="18"/>
      <w:szCs w:val="18"/>
      <w:lang w:val="en-US"/>
    </w:rPr>
  </w:style>
  <w:style w:type="paragraph" w:styleId="ListParagraph">
    <w:name w:val="List Paragraph"/>
    <w:basedOn w:val="Normal"/>
    <w:uiPriority w:val="34"/>
    <w:qFormat/>
    <w:rsid w:val="00101CCE"/>
    <w:pPr>
      <w:ind w:left="720"/>
      <w:contextualSpacing/>
    </w:pPr>
  </w:style>
  <w:style w:type="paragraph" w:styleId="Header">
    <w:name w:val="header"/>
    <w:basedOn w:val="Normal"/>
    <w:link w:val="HeaderChar"/>
    <w:uiPriority w:val="99"/>
    <w:unhideWhenUsed/>
    <w:rsid w:val="009D0083"/>
    <w:pPr>
      <w:tabs>
        <w:tab w:val="center" w:pos="4320"/>
        <w:tab w:val="right" w:pos="8640"/>
      </w:tabs>
      <w:spacing w:after="0" w:line="240" w:lineRule="auto"/>
    </w:pPr>
  </w:style>
  <w:style w:type="character" w:customStyle="1" w:styleId="HeaderChar">
    <w:name w:val="Header Char"/>
    <w:basedOn w:val="DefaultParagraphFont"/>
    <w:link w:val="Header"/>
    <w:uiPriority w:val="99"/>
    <w:rsid w:val="009D0083"/>
    <w:rPr>
      <w:rFonts w:asciiTheme="majorHAnsi" w:hAnsiTheme="majorHAnsi"/>
      <w:lang w:val="en-US"/>
    </w:rPr>
  </w:style>
  <w:style w:type="character" w:styleId="Hyperlink">
    <w:name w:val="Hyperlink"/>
    <w:basedOn w:val="DefaultParagraphFont"/>
    <w:uiPriority w:val="99"/>
    <w:unhideWhenUsed/>
    <w:rsid w:val="008950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4EB"/>
    <w:pPr>
      <w:spacing w:after="160" w:line="480" w:lineRule="auto"/>
    </w:pPr>
    <w:rPr>
      <w:rFonts w:ascii="Times New Roman" w:hAnsi="Times New Roman"/>
      <w:lang w:val="en-US"/>
    </w:rPr>
  </w:style>
  <w:style w:type="paragraph" w:styleId="Heading1">
    <w:name w:val="heading 1"/>
    <w:basedOn w:val="Normal"/>
    <w:next w:val="Normal"/>
    <w:link w:val="Heading1Char"/>
    <w:uiPriority w:val="9"/>
    <w:qFormat/>
    <w:rsid w:val="00D9419C"/>
    <w:pPr>
      <w:keepNext/>
      <w:keepLines/>
      <w:numPr>
        <w:numId w:val="1"/>
      </w:numPr>
      <w:spacing w:before="240" w:after="0"/>
      <w:ind w:left="454" w:hanging="227"/>
      <w:outlineLvl w:val="0"/>
    </w:pPr>
    <w:rPr>
      <w:rFonts w:eastAsiaTheme="majorEastAsia" w:cstheme="majorBidi"/>
      <w:b/>
      <w:bCs/>
      <w:smallCaps/>
      <w:color w:val="000000" w:themeColor="text1"/>
      <w:sz w:val="26"/>
      <w:szCs w:val="26"/>
    </w:rPr>
  </w:style>
  <w:style w:type="paragraph" w:styleId="Heading2">
    <w:name w:val="heading 2"/>
    <w:basedOn w:val="Normal"/>
    <w:next w:val="Normal"/>
    <w:link w:val="Heading2Char"/>
    <w:uiPriority w:val="9"/>
    <w:unhideWhenUsed/>
    <w:qFormat/>
    <w:rsid w:val="00D9419C"/>
    <w:pPr>
      <w:keepNext/>
      <w:keepLines/>
      <w:numPr>
        <w:numId w:val="2"/>
      </w:numPr>
      <w:spacing w:before="240" w:after="0"/>
      <w:ind w:left="908" w:hanging="454"/>
      <w:outlineLvl w:val="1"/>
    </w:pPr>
    <w:rPr>
      <w:rFonts w:eastAsiaTheme="majorEastAsia" w:cstheme="majorBidi"/>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19C"/>
    <w:rPr>
      <w:rFonts w:ascii="Times New Roman" w:eastAsiaTheme="majorEastAsia" w:hAnsi="Times New Roman" w:cstheme="majorBidi"/>
      <w:b/>
      <w:bCs/>
      <w:smallCaps/>
      <w:color w:val="000000" w:themeColor="text1"/>
      <w:sz w:val="26"/>
      <w:szCs w:val="26"/>
      <w:lang w:val="en-US"/>
    </w:rPr>
  </w:style>
  <w:style w:type="character" w:customStyle="1" w:styleId="Heading2Char">
    <w:name w:val="Heading 2 Char"/>
    <w:basedOn w:val="DefaultParagraphFont"/>
    <w:link w:val="Heading2"/>
    <w:uiPriority w:val="9"/>
    <w:rsid w:val="00D9419C"/>
    <w:rPr>
      <w:rFonts w:ascii="Times New Roman" w:eastAsiaTheme="majorEastAsia" w:hAnsi="Times New Roman" w:cstheme="majorBidi"/>
      <w:b/>
      <w:bCs/>
      <w:color w:val="000000" w:themeColor="text1"/>
      <w:szCs w:val="26"/>
      <w:lang w:val="en-US"/>
    </w:rPr>
  </w:style>
  <w:style w:type="paragraph" w:styleId="Title">
    <w:name w:val="Title"/>
    <w:basedOn w:val="Normal"/>
    <w:next w:val="Normal"/>
    <w:link w:val="TitleChar"/>
    <w:uiPriority w:val="10"/>
    <w:qFormat/>
    <w:rsid w:val="0031668D"/>
    <w:pPr>
      <w:pBdr>
        <w:bottom w:val="single" w:sz="8" w:space="4" w:color="4F81BD" w:themeColor="accent1"/>
      </w:pBdr>
      <w:spacing w:after="300" w:line="240" w:lineRule="auto"/>
      <w:contextualSpacing/>
      <w:jc w:val="center"/>
    </w:pPr>
    <w:rPr>
      <w:rFonts w:eastAsiaTheme="majorEastAsia" w:cstheme="majorBidi"/>
      <w:smallCaps/>
      <w:color w:val="000000" w:themeColor="text1"/>
      <w:spacing w:val="5"/>
      <w:kern w:val="28"/>
      <w:sz w:val="28"/>
      <w:szCs w:val="28"/>
    </w:rPr>
  </w:style>
  <w:style w:type="character" w:customStyle="1" w:styleId="TitleChar">
    <w:name w:val="Title Char"/>
    <w:basedOn w:val="DefaultParagraphFont"/>
    <w:link w:val="Title"/>
    <w:uiPriority w:val="10"/>
    <w:rsid w:val="0031668D"/>
    <w:rPr>
      <w:rFonts w:asciiTheme="majorHAnsi" w:eastAsiaTheme="majorEastAsia" w:hAnsiTheme="majorHAnsi" w:cstheme="majorBidi"/>
      <w:smallCaps/>
      <w:color w:val="000000" w:themeColor="text1"/>
      <w:spacing w:val="5"/>
      <w:kern w:val="28"/>
      <w:sz w:val="28"/>
      <w:szCs w:val="28"/>
    </w:rPr>
  </w:style>
  <w:style w:type="paragraph" w:styleId="Footer">
    <w:name w:val="footer"/>
    <w:basedOn w:val="Normal"/>
    <w:link w:val="FooterChar"/>
    <w:uiPriority w:val="99"/>
    <w:unhideWhenUsed/>
    <w:rsid w:val="003D09B2"/>
    <w:pPr>
      <w:tabs>
        <w:tab w:val="center" w:pos="4320"/>
        <w:tab w:val="right" w:pos="8640"/>
      </w:tabs>
      <w:spacing w:line="240" w:lineRule="auto"/>
    </w:pPr>
  </w:style>
  <w:style w:type="character" w:customStyle="1" w:styleId="FooterChar">
    <w:name w:val="Footer Char"/>
    <w:basedOn w:val="DefaultParagraphFont"/>
    <w:link w:val="Footer"/>
    <w:uiPriority w:val="99"/>
    <w:rsid w:val="003D09B2"/>
    <w:rPr>
      <w:rFonts w:asciiTheme="majorHAnsi" w:hAnsiTheme="majorHAnsi"/>
      <w:lang w:val="en-US"/>
    </w:rPr>
  </w:style>
  <w:style w:type="character" w:styleId="PageNumber">
    <w:name w:val="page number"/>
    <w:basedOn w:val="DefaultParagraphFont"/>
    <w:uiPriority w:val="99"/>
    <w:semiHidden/>
    <w:unhideWhenUsed/>
    <w:rsid w:val="003D09B2"/>
  </w:style>
  <w:style w:type="paragraph" w:styleId="FootnoteText">
    <w:name w:val="footnote text"/>
    <w:basedOn w:val="Normal"/>
    <w:link w:val="FootnoteTextChar"/>
    <w:uiPriority w:val="99"/>
    <w:unhideWhenUsed/>
    <w:rsid w:val="002D3C4A"/>
    <w:pPr>
      <w:spacing w:line="240" w:lineRule="auto"/>
    </w:pPr>
  </w:style>
  <w:style w:type="character" w:customStyle="1" w:styleId="FootnoteTextChar">
    <w:name w:val="Footnote Text Char"/>
    <w:basedOn w:val="DefaultParagraphFont"/>
    <w:link w:val="FootnoteText"/>
    <w:uiPriority w:val="99"/>
    <w:rsid w:val="002D3C4A"/>
    <w:rPr>
      <w:rFonts w:asciiTheme="majorHAnsi" w:hAnsiTheme="majorHAnsi"/>
      <w:lang w:val="en-US"/>
    </w:rPr>
  </w:style>
  <w:style w:type="character" w:styleId="FootnoteReference">
    <w:name w:val="footnote reference"/>
    <w:basedOn w:val="DefaultParagraphFont"/>
    <w:uiPriority w:val="99"/>
    <w:unhideWhenUsed/>
    <w:rsid w:val="002D3C4A"/>
    <w:rPr>
      <w:vertAlign w:val="superscript"/>
    </w:rPr>
  </w:style>
  <w:style w:type="paragraph" w:styleId="Quote">
    <w:name w:val="Quote"/>
    <w:basedOn w:val="Normal"/>
    <w:next w:val="Normal"/>
    <w:link w:val="QuoteChar"/>
    <w:uiPriority w:val="29"/>
    <w:qFormat/>
    <w:rsid w:val="00B774EB"/>
    <w:pPr>
      <w:spacing w:after="400" w:line="240" w:lineRule="auto"/>
      <w:ind w:left="567"/>
    </w:pPr>
    <w:rPr>
      <w:i/>
      <w:iCs/>
      <w:color w:val="000000" w:themeColor="text1"/>
    </w:rPr>
  </w:style>
  <w:style w:type="character" w:customStyle="1" w:styleId="QuoteChar">
    <w:name w:val="Quote Char"/>
    <w:basedOn w:val="DefaultParagraphFont"/>
    <w:link w:val="Quote"/>
    <w:uiPriority w:val="29"/>
    <w:rsid w:val="00B774EB"/>
    <w:rPr>
      <w:rFonts w:ascii="Times New Roman" w:hAnsi="Times New Roman"/>
      <w:i/>
      <w:iCs/>
      <w:color w:val="000000" w:themeColor="text1"/>
      <w:lang w:val="en-US"/>
    </w:rPr>
  </w:style>
  <w:style w:type="paragraph" w:styleId="BalloonText">
    <w:name w:val="Balloon Text"/>
    <w:basedOn w:val="Normal"/>
    <w:link w:val="BalloonTextChar"/>
    <w:uiPriority w:val="99"/>
    <w:semiHidden/>
    <w:unhideWhenUsed/>
    <w:rsid w:val="0006206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2067"/>
    <w:rPr>
      <w:rFonts w:ascii="Lucida Grande" w:hAnsi="Lucida Grande" w:cs="Lucida Grande"/>
      <w:sz w:val="18"/>
      <w:szCs w:val="18"/>
      <w:lang w:val="en-US"/>
    </w:rPr>
  </w:style>
  <w:style w:type="paragraph" w:styleId="ListParagraph">
    <w:name w:val="List Paragraph"/>
    <w:basedOn w:val="Normal"/>
    <w:uiPriority w:val="34"/>
    <w:qFormat/>
    <w:rsid w:val="00101CCE"/>
    <w:pPr>
      <w:ind w:left="720"/>
      <w:contextualSpacing/>
    </w:pPr>
  </w:style>
  <w:style w:type="paragraph" w:styleId="Header">
    <w:name w:val="header"/>
    <w:basedOn w:val="Normal"/>
    <w:link w:val="HeaderChar"/>
    <w:uiPriority w:val="99"/>
    <w:unhideWhenUsed/>
    <w:rsid w:val="009D0083"/>
    <w:pPr>
      <w:tabs>
        <w:tab w:val="center" w:pos="4320"/>
        <w:tab w:val="right" w:pos="8640"/>
      </w:tabs>
      <w:spacing w:after="0" w:line="240" w:lineRule="auto"/>
    </w:pPr>
  </w:style>
  <w:style w:type="character" w:customStyle="1" w:styleId="HeaderChar">
    <w:name w:val="Header Char"/>
    <w:basedOn w:val="DefaultParagraphFont"/>
    <w:link w:val="Header"/>
    <w:uiPriority w:val="99"/>
    <w:rsid w:val="009D0083"/>
    <w:rPr>
      <w:rFonts w:asciiTheme="majorHAnsi" w:hAnsiTheme="majorHAnsi"/>
      <w:lang w:val="en-US"/>
    </w:rPr>
  </w:style>
  <w:style w:type="character" w:styleId="Hyperlink">
    <w:name w:val="Hyperlink"/>
    <w:basedOn w:val="DefaultParagraphFont"/>
    <w:uiPriority w:val="99"/>
    <w:unhideWhenUsed/>
    <w:rsid w:val="008950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mericanbar.org/groups/professional_responsibility/publications/model_rules_of_professional_conduc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6315</Words>
  <Characters>35996</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Gilbert + Tobin</Company>
  <LinksUpToDate>false</LinksUpToDate>
  <CharactersWithSpaces>42227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Keesing</dc:creator>
  <cp:lastModifiedBy>Kathy</cp:lastModifiedBy>
  <cp:revision>4</cp:revision>
  <cp:lastPrinted>2018-11-05T19:30:00Z</cp:lastPrinted>
  <dcterms:created xsi:type="dcterms:W3CDTF">2018-11-01T14:32:00Z</dcterms:created>
  <dcterms:modified xsi:type="dcterms:W3CDTF">2018-11-05T19:30:00Z</dcterms:modified>
</cp:coreProperties>
</file>